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A94" w:rsidRPr="007A27F0" w:rsidRDefault="003B5A94" w:rsidP="003B5A94">
      <w:pPr>
        <w:pStyle w:val="a3"/>
      </w:pPr>
      <w:proofErr w:type="spellStart"/>
      <w:r w:rsidRPr="007A27F0">
        <w:t>Проєкт</w:t>
      </w:r>
      <w:proofErr w:type="spellEnd"/>
    </w:p>
    <w:p w:rsidR="003B5A94" w:rsidRPr="007A27F0" w:rsidRDefault="003B5A94" w:rsidP="003B5A94">
      <w:pPr>
        <w:pStyle w:val="a3"/>
      </w:pPr>
    </w:p>
    <w:p w:rsidR="003B5A94" w:rsidRPr="007A27F0" w:rsidRDefault="003B5A94" w:rsidP="003B5A94">
      <w:pPr>
        <w:pStyle w:val="a3"/>
      </w:pPr>
    </w:p>
    <w:p w:rsidR="003B5A94" w:rsidRPr="007A27F0" w:rsidRDefault="003B5A94" w:rsidP="003B5A94">
      <w:pPr>
        <w:pStyle w:val="1"/>
        <w:spacing w:before="189"/>
        <w:ind w:left="570" w:right="494"/>
        <w:jc w:val="center"/>
      </w:pPr>
      <w:r w:rsidRPr="007A27F0">
        <w:t>ПОЛОЖЕННЯ</w:t>
      </w:r>
    </w:p>
    <w:p w:rsidR="003B5A94" w:rsidRPr="003B5A94" w:rsidRDefault="003B5A94" w:rsidP="003B5A94">
      <w:pPr>
        <w:pStyle w:val="1"/>
        <w:spacing w:before="1"/>
        <w:ind w:left="570" w:right="494"/>
        <w:jc w:val="center"/>
      </w:pPr>
      <w:r w:rsidRPr="003B5A94">
        <w:t>Положення про порядок реалізації права на академічну мобільність</w:t>
      </w:r>
    </w:p>
    <w:p w:rsidR="003B5A94" w:rsidRPr="007A27F0" w:rsidRDefault="003B5A94" w:rsidP="003B5A94">
      <w:pPr>
        <w:pStyle w:val="1"/>
        <w:spacing w:before="1"/>
        <w:ind w:left="570" w:right="494"/>
        <w:jc w:val="center"/>
      </w:pPr>
      <w:r w:rsidRPr="007A27F0">
        <w:t xml:space="preserve"> (нова</w:t>
      </w:r>
      <w:r w:rsidRPr="007A27F0">
        <w:rPr>
          <w:spacing w:val="-1"/>
        </w:rPr>
        <w:t xml:space="preserve"> </w:t>
      </w:r>
      <w:r w:rsidRPr="007A27F0">
        <w:t>редакція)</w:t>
      </w:r>
    </w:p>
    <w:p w:rsidR="003B5A94" w:rsidRPr="007A27F0" w:rsidRDefault="003B5A94" w:rsidP="006D6A40">
      <w:pPr>
        <w:spacing w:after="0"/>
        <w:jc w:val="both"/>
        <w:rPr>
          <w:rFonts w:ascii="Times New Roman" w:hAnsi="Times New Roman" w:cs="Times New Roman"/>
          <w:b/>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1. ЗАГАЛЬНІ ПОЛОЖЕННЯ</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1.1. Положення про порядок реалізації права на академічну мобільність (далі –Положення) розроблено з метою врегулювання порядку реалізації права на академічну мобільність у Маріупольському державному університеті  відповідно до Закону України “Про Вищу освіту”, Закону України “Про освіту”, Постанови Кабінету міністрів України №579 “Про затвердження Положення про порядок реалізації права на академічну мобільність” від 12 серпня 2015 р. та Постанови Кабінету міністрів України №599 “Про внесення змін до деяких постанов Кабінету Міністрів України щодо врегулювання питань академічної мобільності” від 13 травня 2022 р. та  Постанови Кабінету міністрів України № 366 «Про внесення зміни до Правил перетинання державного кордону громадянами України» від 2 квітня 2024 р., а також Стратегії Інтернаціоналізації МДУ  (2024-2027рр.).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1.2. Положення регламентує діяльність Маріупольського державного університету (далі – Університет) в сфері організації акаде</w:t>
      </w:r>
      <w:r w:rsidR="009A39A9" w:rsidRPr="007A27F0">
        <w:rPr>
          <w:rFonts w:ascii="Times New Roman" w:hAnsi="Times New Roman" w:cs="Times New Roman"/>
          <w:sz w:val="24"/>
          <w:szCs w:val="24"/>
        </w:rPr>
        <w:t xml:space="preserve">мічної мобільності в Україні та </w:t>
      </w:r>
      <w:r w:rsidRPr="007A27F0">
        <w:rPr>
          <w:rFonts w:ascii="Times New Roman" w:hAnsi="Times New Roman" w:cs="Times New Roman"/>
          <w:sz w:val="24"/>
          <w:szCs w:val="24"/>
        </w:rPr>
        <w:t>за кордоном</w:t>
      </w:r>
      <w:r w:rsidR="009A39A9" w:rsidRPr="007A27F0">
        <w:rPr>
          <w:rFonts w:ascii="Times New Roman" w:hAnsi="Times New Roman" w:cs="Times New Roman"/>
          <w:sz w:val="24"/>
          <w:szCs w:val="24"/>
        </w:rPr>
        <w:t>.</w:t>
      </w:r>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1.3. У цьому Положенні терміни вживаються у такому значенні: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b/>
          <w:sz w:val="24"/>
          <w:szCs w:val="24"/>
        </w:rPr>
        <w:t xml:space="preserve">академічна мобільність </w:t>
      </w:r>
      <w:r w:rsidRPr="007A27F0">
        <w:rPr>
          <w:rFonts w:ascii="Times New Roman" w:hAnsi="Times New Roman" w:cs="Times New Roman"/>
          <w:sz w:val="24"/>
          <w:szCs w:val="24"/>
        </w:rPr>
        <w:t>– це можливість учасників освітнього процесу навчатися, викладати, стажуватися чи проводити наукову діяльність в іншому закладі вищої освіти (далі – ЗВО),  на території України чи поза її межами;</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b/>
          <w:sz w:val="24"/>
          <w:szCs w:val="24"/>
        </w:rPr>
        <w:t xml:space="preserve">європейська кредитна </w:t>
      </w:r>
      <w:proofErr w:type="spellStart"/>
      <w:r w:rsidRPr="007A27F0">
        <w:rPr>
          <w:rFonts w:ascii="Times New Roman" w:hAnsi="Times New Roman" w:cs="Times New Roman"/>
          <w:b/>
          <w:sz w:val="24"/>
          <w:szCs w:val="24"/>
        </w:rPr>
        <w:t>трансферно</w:t>
      </w:r>
      <w:proofErr w:type="spellEnd"/>
      <w:r w:rsidRPr="007A27F0">
        <w:rPr>
          <w:rFonts w:ascii="Times New Roman" w:hAnsi="Times New Roman" w:cs="Times New Roman"/>
          <w:b/>
          <w:sz w:val="24"/>
          <w:szCs w:val="24"/>
        </w:rPr>
        <w:t>-накопичувальна система</w:t>
      </w:r>
      <w:r w:rsidRPr="007A27F0">
        <w:rPr>
          <w:rFonts w:ascii="Times New Roman" w:hAnsi="Times New Roman" w:cs="Times New Roman"/>
          <w:sz w:val="24"/>
          <w:szCs w:val="24"/>
        </w:rPr>
        <w:t xml:space="preserve">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мобільності здобувачів вищої освіти. Система ґрунтується на визначенні навчального навантаження здобувача вищої освіти, необхідного для досягнення визначених результатів навчання, та обліковується у кредитах ЄКТС.</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b/>
          <w:sz w:val="24"/>
          <w:szCs w:val="24"/>
        </w:rPr>
        <w:t>кредитна академічна мобільність</w:t>
      </w:r>
      <w:r w:rsidRPr="007A27F0">
        <w:rPr>
          <w:rFonts w:ascii="Times New Roman" w:hAnsi="Times New Roman" w:cs="Times New Roman"/>
          <w:sz w:val="24"/>
          <w:szCs w:val="24"/>
        </w:rPr>
        <w:t xml:space="preserve"> – навчання у приймаючому  закладі вищої освіти (далі приймаючий ЗВО), відмінному від постійного місця навчання учасника освітнього процесу, з метою здобуття кредитів Європейської кредитної </w:t>
      </w:r>
      <w:proofErr w:type="spellStart"/>
      <w:r w:rsidRPr="007A27F0">
        <w:rPr>
          <w:rFonts w:ascii="Times New Roman" w:hAnsi="Times New Roman" w:cs="Times New Roman"/>
          <w:sz w:val="24"/>
          <w:szCs w:val="24"/>
        </w:rPr>
        <w:t>трансферно</w:t>
      </w:r>
      <w:proofErr w:type="spellEnd"/>
      <w:r w:rsidRPr="007A27F0">
        <w:rPr>
          <w:rFonts w:ascii="Times New Roman" w:hAnsi="Times New Roman" w:cs="Times New Roman"/>
          <w:sz w:val="24"/>
          <w:szCs w:val="24"/>
        </w:rPr>
        <w:t xml:space="preserve">-накопичувальної системи (далі – ЄКТС) та/або відповідних </w:t>
      </w:r>
      <w:proofErr w:type="spellStart"/>
      <w:r w:rsidRPr="007A27F0">
        <w:rPr>
          <w:rFonts w:ascii="Times New Roman" w:hAnsi="Times New Roman" w:cs="Times New Roman"/>
          <w:sz w:val="24"/>
          <w:szCs w:val="24"/>
        </w:rPr>
        <w:t>компетентностей</w:t>
      </w:r>
      <w:proofErr w:type="spellEnd"/>
      <w:r w:rsidRPr="007A27F0">
        <w:rPr>
          <w:rFonts w:ascii="Times New Roman" w:hAnsi="Times New Roman" w:cs="Times New Roman"/>
          <w:sz w:val="24"/>
          <w:szCs w:val="24"/>
        </w:rPr>
        <w:t>, результатів навчання (без здобуття кредитів ЄКТС), що будуть визнані у ЗВО постійного місця навчання вітчизняного чи іноземного учасника освітнього процесу. При цьому загальний період навчання для таких учасників за програмами кредитної мобільності  залишається незмінним;</w:t>
      </w:r>
    </w:p>
    <w:p w:rsidR="006D6A40" w:rsidRPr="007A27F0" w:rsidRDefault="006D6A40" w:rsidP="006D6A40">
      <w:pPr>
        <w:spacing w:after="0"/>
        <w:jc w:val="both"/>
        <w:rPr>
          <w:rFonts w:ascii="Times New Roman" w:hAnsi="Times New Roman" w:cs="Times New Roman"/>
          <w:b/>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b/>
          <w:sz w:val="24"/>
          <w:szCs w:val="24"/>
        </w:rPr>
        <w:t>угода про навчання</w:t>
      </w:r>
      <w:r w:rsidRPr="007A27F0">
        <w:rPr>
          <w:rFonts w:ascii="Times New Roman" w:hAnsi="Times New Roman" w:cs="Times New Roman"/>
          <w:sz w:val="24"/>
          <w:szCs w:val="24"/>
        </w:rPr>
        <w:t xml:space="preserve"> – документ, де визначається навчальна програма, яку має пройти здобувач вищої освіти у приймаючому університеті, визначено цільові результати навчання та положення про офіційне визнання.</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1.4. Загальною метою імплементації Програми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академічна мобільність для здобувачів освіти, науковців та викладачів України  є:</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w:t>
      </w:r>
      <w:r w:rsidRPr="007A27F0">
        <w:rPr>
          <w:rFonts w:ascii="Times New Roman" w:hAnsi="Times New Roman" w:cs="Times New Roman"/>
          <w:sz w:val="24"/>
          <w:szCs w:val="24"/>
        </w:rPr>
        <w:tab/>
        <w:t>інтеграція України у Європейський простір вищої освіти та Європейський дослідницький простір;</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обмін передовими практиками та досвідом у сферах освіти і науки;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модернізація системи освіти;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r>
      <w:proofErr w:type="spellStart"/>
      <w:r w:rsidRPr="007A27F0">
        <w:rPr>
          <w:rFonts w:ascii="Times New Roman" w:hAnsi="Times New Roman" w:cs="Times New Roman"/>
          <w:sz w:val="24"/>
          <w:szCs w:val="24"/>
        </w:rPr>
        <w:t>цифровізація</w:t>
      </w:r>
      <w:proofErr w:type="spellEnd"/>
      <w:r w:rsidRPr="007A27F0">
        <w:rPr>
          <w:rFonts w:ascii="Times New Roman" w:hAnsi="Times New Roman" w:cs="Times New Roman"/>
          <w:sz w:val="24"/>
          <w:szCs w:val="24"/>
        </w:rPr>
        <w:t xml:space="preserve"> навчання та управління;</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підвищення якості освіти та ефективності наукових досліджень;</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підвищення конкурентоспроможності </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-наукової спільноти України;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розвиток професійних навичок та особистісних якостей учасників академічної мобільності;</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поглиблення співробітництва з міжнародними партнерами у сферах освіти і науки;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підтримка соціальних, економічних, культурних взаємовідносин та </w:t>
      </w:r>
      <w:proofErr w:type="spellStart"/>
      <w:r w:rsidRPr="007A27F0">
        <w:rPr>
          <w:rFonts w:ascii="Times New Roman" w:hAnsi="Times New Roman" w:cs="Times New Roman"/>
          <w:sz w:val="24"/>
          <w:szCs w:val="24"/>
        </w:rPr>
        <w:t>зв’язків</w:t>
      </w:r>
      <w:proofErr w:type="spellEnd"/>
      <w:r w:rsidRPr="007A27F0">
        <w:rPr>
          <w:rFonts w:ascii="Times New Roman" w:hAnsi="Times New Roman" w:cs="Times New Roman"/>
          <w:sz w:val="24"/>
          <w:szCs w:val="24"/>
        </w:rPr>
        <w:t xml:space="preserve"> з іншими країнами.</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Завданнями учасників академічної мобільності (здобувачів освіти, науковців та викладачів Університету) є:</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підвищення рівня теоретичної та практичної підготовки, професійної майстерності учасників академічної мобільності;</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отримання міжнародного досвіду провадження викладацької, наукової,</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науково-технічної діяльності та доступу до європейської та світової</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дослідницької інфраструктури;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реалізація спільних наукових, науково-технічних та/або освітніх </w:t>
      </w:r>
      <w:proofErr w:type="spellStart"/>
      <w:r w:rsidRPr="007A27F0">
        <w:rPr>
          <w:rFonts w:ascii="Times New Roman" w:hAnsi="Times New Roman" w:cs="Times New Roman"/>
          <w:sz w:val="24"/>
          <w:szCs w:val="24"/>
        </w:rPr>
        <w:t>проєктів</w:t>
      </w:r>
      <w:proofErr w:type="spellEnd"/>
      <w:r w:rsidRPr="007A27F0">
        <w:rPr>
          <w:rFonts w:ascii="Times New Roman" w:hAnsi="Times New Roman" w:cs="Times New Roman"/>
          <w:sz w:val="24"/>
          <w:szCs w:val="24"/>
        </w:rPr>
        <w:t>;</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підвищення рівня володіння іноземними мовами.</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1.5. Академічна мобільність поділяється на:</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 за місцем її реалізації: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внутрішню, що передбачає навчання, виконання програми академічної мобільності українським учасником в іншому українському ЗВО і, відмінному від місця постійного навчання (роботи);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міжнародну, що передбачає навчання, виконання програми академічної мобільності українським учасником в іноземному ЗВО;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іноземного учасника - в українському ЗВО;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 за сферою діяльності – на освітню та наукову;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 за способом реалізації:</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очну, що передбачає фізичне переміщення учасника академічної мобільності до приймаючого ЗВО;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дистанційну, що передбачає інтерактивну взаємодію учасника академічної мобільності за допомогою відповідних інформаційно-комунікаційних технологій;</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змішану, що передбачає очно-дистанційну участь учасника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1.6. Освітня академічна мобільність за процедурою визнання результатів навчання  поділяється на: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кредитну, що передбачає навчання українського учасника в іноземному або українському (відмінному від постійного місця навчання) ЗВО або іноземного учасника в українському ЗВО з метою досягнення результатів навчання та/або відповідних </w:t>
      </w:r>
      <w:proofErr w:type="spellStart"/>
      <w:r w:rsidRPr="007A27F0">
        <w:rPr>
          <w:rFonts w:ascii="Times New Roman" w:hAnsi="Times New Roman" w:cs="Times New Roman"/>
          <w:sz w:val="24"/>
          <w:szCs w:val="24"/>
        </w:rPr>
        <w:t>компетентностей</w:t>
      </w:r>
      <w:proofErr w:type="spellEnd"/>
      <w:r w:rsidRPr="007A27F0">
        <w:rPr>
          <w:rFonts w:ascii="Times New Roman" w:hAnsi="Times New Roman" w:cs="Times New Roman"/>
          <w:sz w:val="24"/>
          <w:szCs w:val="24"/>
        </w:rPr>
        <w:t xml:space="preserve"> із здобуття кредитів ЄКТС, що будуть визнані в українському (для українського учасника) або іноземному (для іноземного учасника) ЗВО постійного місця навчання;</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ступеневу, що передбачає навчання українського учасника в іноземному або українському ЗВО або іноземного учасника в українському ЗВО  за узгодженими між такими </w:t>
      </w:r>
      <w:r w:rsidRPr="007A27F0">
        <w:rPr>
          <w:rFonts w:ascii="Times New Roman" w:hAnsi="Times New Roman" w:cs="Times New Roman"/>
          <w:sz w:val="24"/>
          <w:szCs w:val="24"/>
        </w:rPr>
        <w:lastRenderedPageBreak/>
        <w:t xml:space="preserve">ЗВО освітніми (освітньо-професійними) програмами з метою здобуття певного рівня освіти, що дає такій особі право на отримання документа про фахову </w:t>
      </w:r>
      <w:proofErr w:type="spellStart"/>
      <w:r w:rsidRPr="007A27F0">
        <w:rPr>
          <w:rFonts w:ascii="Times New Roman" w:hAnsi="Times New Roman" w:cs="Times New Roman"/>
          <w:sz w:val="24"/>
          <w:szCs w:val="24"/>
        </w:rPr>
        <w:t>передвищу</w:t>
      </w:r>
      <w:proofErr w:type="spellEnd"/>
      <w:r w:rsidRPr="007A27F0">
        <w:rPr>
          <w:rFonts w:ascii="Times New Roman" w:hAnsi="Times New Roman" w:cs="Times New Roman"/>
          <w:sz w:val="24"/>
          <w:szCs w:val="24"/>
        </w:rPr>
        <w:t xml:space="preserve"> або вищу освіту в установленому законодавством порядку.</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1.7. Формами академічної мобільності є:</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 для учасників академічної мобільності, які здобувають освітній ступінь бакалавра, магістра:</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навчання за освітніми (освітньо-професійними) програмами кредитної або ступеневої академічної мобільності;</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r>
      <w:proofErr w:type="spellStart"/>
      <w:r w:rsidRPr="007A27F0">
        <w:rPr>
          <w:rFonts w:ascii="Times New Roman" w:hAnsi="Times New Roman" w:cs="Times New Roman"/>
          <w:sz w:val="24"/>
          <w:szCs w:val="24"/>
        </w:rPr>
        <w:t>мовне</w:t>
      </w:r>
      <w:proofErr w:type="spellEnd"/>
      <w:r w:rsidRPr="007A27F0">
        <w:rPr>
          <w:rFonts w:ascii="Times New Roman" w:hAnsi="Times New Roman" w:cs="Times New Roman"/>
          <w:sz w:val="24"/>
          <w:szCs w:val="24"/>
        </w:rPr>
        <w:t xml:space="preserve"> стажування (удосконалення рівня практичного володіння іноземною</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мовою в певній професійній діяльності або галузі знань);</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навчально-наукове стажування (діяльність, спрямована на набуття практичного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досвіду на основі досліджень та формування нових професійних </w:t>
      </w:r>
      <w:proofErr w:type="spellStart"/>
      <w:r w:rsidRPr="007A27F0">
        <w:rPr>
          <w:rFonts w:ascii="Times New Roman" w:hAnsi="Times New Roman" w:cs="Times New Roman"/>
          <w:sz w:val="24"/>
          <w:szCs w:val="24"/>
        </w:rPr>
        <w:t>компетентностей</w:t>
      </w:r>
      <w:proofErr w:type="spellEnd"/>
      <w:r w:rsidRPr="007A27F0">
        <w:rPr>
          <w:rFonts w:ascii="Times New Roman" w:hAnsi="Times New Roman" w:cs="Times New Roman"/>
          <w:sz w:val="24"/>
          <w:szCs w:val="24"/>
        </w:rPr>
        <w:t xml:space="preserve"> у психолого-педагогічній, науково-дослідній, організаційно-управлінській діяльності в межах певної спеціальності/освітньої програми);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практика (отримання досвіду професійної діяльності в галузі майбутньої, наявної, суміжної спеціальності/освітньої програми під керівництвом працівників приймаючого ЗВО з метою формування фахових </w:t>
      </w:r>
      <w:proofErr w:type="spellStart"/>
      <w:r w:rsidRPr="007A27F0">
        <w:rPr>
          <w:rFonts w:ascii="Times New Roman" w:hAnsi="Times New Roman" w:cs="Times New Roman"/>
          <w:sz w:val="24"/>
          <w:szCs w:val="24"/>
        </w:rPr>
        <w:t>компетентностей</w:t>
      </w:r>
      <w:proofErr w:type="spellEnd"/>
      <w:r w:rsidRPr="007A27F0">
        <w:rPr>
          <w:rFonts w:ascii="Times New Roman" w:hAnsi="Times New Roman" w:cs="Times New Roman"/>
          <w:sz w:val="24"/>
          <w:szCs w:val="24"/>
        </w:rPr>
        <w:t xml:space="preserve"> та навичок у реальних, у тому числі виробничих, умовах для прийняття самостійних рішень у практичній діяльності, оволодіння методами, формами організації та засобами праці в певній професійній діяльності або галузі знань);</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2) для учасників академічної мобільності, які здобувають </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-науковий ступінь доктора філософії/доктора мистецтва, науковий ступінь доктора наук або є педагогічними, науково-педагогічними, науковими, іншими працівниками Університету: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участь у програмах кредитної академічної мобільності учасників академічної</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мобільності, які здобувають </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-науковий ступінь доктора</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філософії/доктора мистецтва;</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участь у спільних освітніх та/або наукових </w:t>
      </w:r>
      <w:proofErr w:type="spellStart"/>
      <w:r w:rsidRPr="007A27F0">
        <w:rPr>
          <w:rFonts w:ascii="Times New Roman" w:hAnsi="Times New Roman" w:cs="Times New Roman"/>
          <w:sz w:val="24"/>
          <w:szCs w:val="24"/>
        </w:rPr>
        <w:t>проєктах</w:t>
      </w:r>
      <w:proofErr w:type="spellEnd"/>
      <w:r w:rsidRPr="007A27F0">
        <w:rPr>
          <w:rFonts w:ascii="Times New Roman" w:hAnsi="Times New Roman" w:cs="Times New Roman"/>
          <w:sz w:val="24"/>
          <w:szCs w:val="24"/>
        </w:rPr>
        <w:t xml:space="preserve"> (діяльність у складі тимчасової </w:t>
      </w:r>
      <w:proofErr w:type="spellStart"/>
      <w:r w:rsidRPr="007A27F0">
        <w:rPr>
          <w:rFonts w:ascii="Times New Roman" w:hAnsi="Times New Roman" w:cs="Times New Roman"/>
          <w:sz w:val="24"/>
          <w:szCs w:val="24"/>
        </w:rPr>
        <w:t>проєктної</w:t>
      </w:r>
      <w:proofErr w:type="spellEnd"/>
      <w:r w:rsidRPr="007A27F0">
        <w:rPr>
          <w:rFonts w:ascii="Times New Roman" w:hAnsi="Times New Roman" w:cs="Times New Roman"/>
          <w:sz w:val="24"/>
          <w:szCs w:val="24"/>
        </w:rPr>
        <w:t xml:space="preserve"> групи, утвореної на певний термін для реалізації мети та виконання завдань певного освітнього або наукового </w:t>
      </w:r>
      <w:proofErr w:type="spellStart"/>
      <w:r w:rsidRPr="007A27F0">
        <w:rPr>
          <w:rFonts w:ascii="Times New Roman" w:hAnsi="Times New Roman" w:cs="Times New Roman"/>
          <w:sz w:val="24"/>
          <w:szCs w:val="24"/>
        </w:rPr>
        <w:t>проєкту</w:t>
      </w:r>
      <w:proofErr w:type="spellEnd"/>
      <w:r w:rsidRPr="007A27F0">
        <w:rPr>
          <w:rFonts w:ascii="Times New Roman" w:hAnsi="Times New Roman" w:cs="Times New Roman"/>
          <w:sz w:val="24"/>
          <w:szCs w:val="24"/>
        </w:rPr>
        <w:t xml:space="preserve"> за рахунок гранту, наданого приймаючим ЗВО;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викладання;</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стажування;</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наукове стажування;</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інші форми (участь у семінарах, конференціях, виступи та публікації в межах певної спеціальності/освітньої програми тощо), що не суперечать законодавству.</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1.8. Під час участі в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 мобільності та після її завершення учасники відповідних програм залишаються здобувачами вищої освіти того самого рівня освіти. Тривалість, кількість учасників, напрями (факультети, підрозділи), основна і додаткова мови, терміни подання заявок для участі в програмах академічної мобільності тощо визначаються цим Положенням і відповідними договорами між Університетом та приймаючим ЗВО.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Квоти прийому та фінансові умови, які діють на момент оголошення конкурсу, встановлюються Програмою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та  приймаючим ЗВО.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1.9. Для реалізації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 мобільності Університет укладає договір з приймаючим ЗВО  про виконання програми академічної мобільності. Особа, яка пройшла конкурс, укладає Угоду про навчання, яка підписується Університетом та приймаючим ЗВО.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 xml:space="preserve">1.10. Не може брати участь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ЗВО, зареєстрований на території  держави агресора. Не можуть брати участь у програмі академічної мобільності в Університеті громадяни держави, визнаної в установленому порядку державою-агресором або державою-окупантом, або держави, що не визнає тимчасово окуповані території такими, що належать Україні.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1.11. Учасниками програми </w:t>
      </w:r>
      <w:proofErr w:type="spellStart"/>
      <w:r w:rsidRPr="007A27F0">
        <w:rPr>
          <w:rFonts w:ascii="Times New Roman" w:hAnsi="Times New Roman" w:cs="Times New Roman"/>
          <w:sz w:val="24"/>
          <w:szCs w:val="24"/>
        </w:rPr>
        <w:t>Еразмус+академічної</w:t>
      </w:r>
      <w:proofErr w:type="spellEnd"/>
      <w:r w:rsidRPr="007A27F0">
        <w:rPr>
          <w:rFonts w:ascii="Times New Roman" w:hAnsi="Times New Roman" w:cs="Times New Roman"/>
          <w:sz w:val="24"/>
          <w:szCs w:val="24"/>
        </w:rPr>
        <w:t xml:space="preserve"> мобільності відповідно до цього Положення можуть бути: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громадяни України;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іноземці, які здобувають вищу освіту в ЗВО України;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особи, яких визнано біженцями та особи, які потребують додаткового захисту, які здобувають вищу освіту певного освітнього, </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-наукового/</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-творчого рівня, науковий ступінь за денною формою здобуття освіти (з відривом від виробництва) або працюють за основним місцем роботи в Університеті і які на умовах і в порядку, визначених цим Положенням, беруть участь у програмі академічної мобільності в іноземному або іншому українському ЗВО;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іноземці, особи без громадянства, які здобувають вищу освіту, науковий ступінь або працюють в іноземному ЗВО та беруть участь у програмі академічної мобільності в Університеті.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1.12. На період  академічної мобільності українські учасники: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зберігають за собою місце навчання, право на призначення академічної та/або соціальної стипендії незалежно від наявності в партнерському договорі та/або договорі академічної мобільності положення щодо фінансової підтримки ЗВО у грошовій та/або безгрошовій формі та її обсягів;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зберігається інше соціальне забезпечення відповідно до законодавства. Стипендіальне забезпечення під час та після завершення участі у програмі академічної мобільності здійснюється відповідно до чинного законодавства, а також відповідно до результатів  екзаменаційної сесії;</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студенти, які здобувають освіту в Університеті за контрактною формою навчання не звільняються від сплати контракту.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1.13. На період академічної мобільності українські учасники – педагогічні, науково-педагогічні, наукові та інші працівники зберігають на строк до: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двох років – посаду за основним місцем роботи;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шести місяців – оплату праці за основним місцем роботи в розмірі середньої заробітної плати відповідно до законодавства, якщо підтримка у грошовій формі протягом усього терміну участі у програмі академічної мобільності у приймаючому  ЗВО не передбачена або передбачена в розмірі, що на дату укладення договору про академічну мобільність є меншою за розмір середнього прожиткового мінімуму в країні перебування. Для підтвердження права на збереження заробітної плати на час участі в академічній мобільності педагогічні, науково-педагогічні, наукові та інші працівники подають у ЦМО запрошення від приймаючого ЗВО з інформацією про: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а) наявність чи відсутність підтримки у грошовій формі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б) розмір підтримки у грошовій формі (якщо передбачена) та розмір середнього прожиткового мінімуму в країні перебування.</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1.14. Тривалість участі у програмах академічної мобільності для учасників академічної мобільності, які здобувають </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 xml:space="preserve">-науковий ступінь доктора філософії/доктора мистецтва, </w:t>
      </w:r>
      <w:r w:rsidRPr="007A27F0">
        <w:rPr>
          <w:rFonts w:ascii="Times New Roman" w:hAnsi="Times New Roman" w:cs="Times New Roman"/>
          <w:sz w:val="24"/>
          <w:szCs w:val="24"/>
        </w:rPr>
        <w:lastRenderedPageBreak/>
        <w:t>науковий ступінь доктора наук або є педагогічними, науково-педагогічними, науковими, іншими працівниками Університету, не може перевищувати двох років поспіль.</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1.15. Для учасників Програми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 академічної мобільності, які здобувають освітній ступінь бакалавра, магістра, сукупна тривалість участі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академічної мобільності не може перевищувати 2 семестри поспіль. Цей пункт може бути </w:t>
      </w:r>
      <w:proofErr w:type="spellStart"/>
      <w:r w:rsidRPr="007A27F0">
        <w:rPr>
          <w:rFonts w:ascii="Times New Roman" w:hAnsi="Times New Roman" w:cs="Times New Roman"/>
          <w:sz w:val="24"/>
          <w:szCs w:val="24"/>
        </w:rPr>
        <w:t>переглянуто</w:t>
      </w:r>
      <w:proofErr w:type="spellEnd"/>
      <w:r w:rsidRPr="007A27F0">
        <w:rPr>
          <w:rFonts w:ascii="Times New Roman" w:hAnsi="Times New Roman" w:cs="Times New Roman"/>
          <w:sz w:val="24"/>
          <w:szCs w:val="24"/>
        </w:rPr>
        <w:t xml:space="preserve"> в окремих випадках.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 xml:space="preserve">2. ОРГАНІЗАЦІЙНЕ ЗАБЕЗПЕЧЕННЯ АКАДЕМІЧНОЇ МОБІЛЬНОСТІ </w:t>
      </w:r>
      <w:r w:rsidR="009A39A9" w:rsidRPr="007A27F0">
        <w:rPr>
          <w:rFonts w:ascii="Times New Roman" w:hAnsi="Times New Roman" w:cs="Times New Roman"/>
          <w:b/>
          <w:sz w:val="24"/>
          <w:szCs w:val="24"/>
        </w:rPr>
        <w:t xml:space="preserve">ЗА </w:t>
      </w:r>
      <w:r w:rsidRPr="007A27F0">
        <w:rPr>
          <w:rFonts w:ascii="Times New Roman" w:hAnsi="Times New Roman" w:cs="Times New Roman"/>
          <w:b/>
          <w:sz w:val="24"/>
          <w:szCs w:val="24"/>
        </w:rPr>
        <w:t>ПРОГРАМ</w:t>
      </w:r>
      <w:r w:rsidR="009A39A9" w:rsidRPr="007A27F0">
        <w:rPr>
          <w:rFonts w:ascii="Times New Roman" w:hAnsi="Times New Roman" w:cs="Times New Roman"/>
          <w:b/>
          <w:sz w:val="24"/>
          <w:szCs w:val="24"/>
        </w:rPr>
        <w:t>ОЮ</w:t>
      </w:r>
      <w:r w:rsidRPr="007A27F0">
        <w:rPr>
          <w:rFonts w:ascii="Times New Roman" w:hAnsi="Times New Roman" w:cs="Times New Roman"/>
          <w:b/>
          <w:sz w:val="24"/>
          <w:szCs w:val="24"/>
        </w:rPr>
        <w:t xml:space="preserve"> ЕРАЗМУС+</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2.1. Організацію академічної мобільності (комунікацію, зокрема укладання угод із приймаючим ЗВО , інформування факультетів, кафедр про наявні можливості академічної мобільності, надання методичної допомоги щодо оформлення документів та узгодження освітніх програм   (освітніх програм академічної мобільності, трансферу кредитів тощо) забезпечує Центр міжнародної освіти Університету (далі – ЦМО) та деканати.</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2.2. Декани факультетів, керівники інших структурних підрозділів Університету надають необхідну підтримку та сприяють діяльності ЦМО у здійсненні організаційного супроводу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2.3. Супровід програм здійснюють Координатори академічної мобільності (далі – Координатори). Обов'язки Координаторів покладаються на працівників ЦМО.  Координатори здійснюють організаційний супровід академічної мобільності  у співпраці з відповідними структурними підрозділами (деканати, навчальний відділ тощо)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2.4. Координатори зобов'язуються:</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забезпечувати необхідною організаційною підтримкою учасників освітнього процесу, які виявили бажання взяти участь у конкурсі, а також надавати допомогу відібраним учасникам відповідних програм перед, упродовж та після мобільності;</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 окремих випадках та за попереднім погодженням з директором ЦМО та приймаючим ЗВО вносити зміни у частину “Під час мобільності” (“</w:t>
      </w:r>
      <w:proofErr w:type="spellStart"/>
      <w:r w:rsidRPr="007A27F0">
        <w:rPr>
          <w:rFonts w:ascii="Times New Roman" w:hAnsi="Times New Roman" w:cs="Times New Roman"/>
          <w:sz w:val="24"/>
          <w:szCs w:val="24"/>
        </w:rPr>
        <w:t>During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the</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Mobility</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упродовж мобільності здобувачів вищої освіти;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здійснювати організаційний супровід визнання результатів навчання та </w:t>
      </w:r>
      <w:proofErr w:type="spellStart"/>
      <w:r w:rsidRPr="007A27F0">
        <w:rPr>
          <w:rFonts w:ascii="Times New Roman" w:hAnsi="Times New Roman" w:cs="Times New Roman"/>
          <w:sz w:val="24"/>
          <w:szCs w:val="24"/>
        </w:rPr>
        <w:t>перезарахування</w:t>
      </w:r>
      <w:proofErr w:type="spellEnd"/>
      <w:r w:rsidRPr="007A27F0">
        <w:rPr>
          <w:rFonts w:ascii="Times New Roman" w:hAnsi="Times New Roman" w:cs="Times New Roman"/>
          <w:sz w:val="24"/>
          <w:szCs w:val="24"/>
        </w:rPr>
        <w:t xml:space="preserve"> кредитів ЄКТС після повернення здобувача вищої освіти з академічної мобільності та внесення даних про результати визнання у відповідну частину “Після мобільності” (“</w:t>
      </w:r>
      <w:proofErr w:type="spellStart"/>
      <w:r w:rsidRPr="007A27F0">
        <w:rPr>
          <w:rFonts w:ascii="Times New Roman" w:hAnsi="Times New Roman" w:cs="Times New Roman"/>
          <w:sz w:val="24"/>
          <w:szCs w:val="24"/>
        </w:rPr>
        <w:t>After</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the</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Mobility</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вживати аналогічних заходів у разі реалізації академічної мобільності в формі проходження здобувачем вищої освіти практики, у тому числі щодо підготовки і підписання Угоди про практику (</w:t>
      </w:r>
      <w:proofErr w:type="spellStart"/>
      <w:r w:rsidRPr="007A27F0">
        <w:rPr>
          <w:rFonts w:ascii="Times New Roman" w:hAnsi="Times New Roman" w:cs="Times New Roman"/>
          <w:sz w:val="24"/>
          <w:szCs w:val="24"/>
        </w:rPr>
        <w:t>Traine</w:t>
      </w:r>
      <w:proofErr w:type="spellEnd"/>
      <w:r w:rsidRPr="007A27F0">
        <w:rPr>
          <w:rFonts w:ascii="Times New Roman" w:hAnsi="Times New Roman" w:cs="Times New Roman"/>
          <w:sz w:val="24"/>
          <w:szCs w:val="24"/>
          <w:lang w:val="en-US"/>
        </w:rPr>
        <w:t>e</w:t>
      </w:r>
      <w:proofErr w:type="spellStart"/>
      <w:r w:rsidRPr="007A27F0">
        <w:rPr>
          <w:rFonts w:ascii="Times New Roman" w:hAnsi="Times New Roman" w:cs="Times New Roman"/>
          <w:sz w:val="24"/>
          <w:szCs w:val="24"/>
        </w:rPr>
        <w:t>ship</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Уживати інших заходів для забезпечення максимального визнання та </w:t>
      </w:r>
      <w:proofErr w:type="spellStart"/>
      <w:r w:rsidRPr="007A27F0">
        <w:rPr>
          <w:rFonts w:ascii="Times New Roman" w:hAnsi="Times New Roman" w:cs="Times New Roman"/>
          <w:sz w:val="24"/>
          <w:szCs w:val="24"/>
        </w:rPr>
        <w:t>перезарахування</w:t>
      </w:r>
      <w:proofErr w:type="spellEnd"/>
      <w:r w:rsidRPr="007A27F0">
        <w:rPr>
          <w:rFonts w:ascii="Times New Roman" w:hAnsi="Times New Roman" w:cs="Times New Roman"/>
          <w:sz w:val="24"/>
          <w:szCs w:val="24"/>
        </w:rPr>
        <w:t xml:space="preserve"> результатів навчання здобувачів вищої освіти після їхнього повернення з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2.5. Органи студентського самоврядування та випускники програми академічної мобільності залучаються з метою підвищення зацікавленості та поінформованості здобувачів вищої освіти Університету про можливості реалізації академічної мобільності за програмою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та кінцевого відбору кандидатів.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3. ПРОЦЕДУРА ПРОВЕДЕННЯ КОНКУРСУ НА УЧАСТЬ У ПРОГРАМІ ЕРАЗМУС+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3.1. До участі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академічної мобільності допускаються здобувачі вищої освіти, які на час реалізації програм академічної мобільності навчаються на освітніх рівнях бакалавра, магістра або здобувають третій </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-науковий рівень вищої освіти в Університеті та які не мають  академічних та фінансових заборгованостей, дисциплінарних стягнень;</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3.2. Відбір учасників програми академічної мобільності здійснює Конкурсна комісія (далі – Комісія) у складі: директора Центра міжнародної освіти (голова Комісії), фахівців Центру міжнародної освіти, деканів факультетів та представників органів студентського самоврядування. До конкурсної комісії можуть бути запрошені </w:t>
      </w:r>
      <w:proofErr w:type="spellStart"/>
      <w:r w:rsidRPr="007A27F0">
        <w:rPr>
          <w:rFonts w:ascii="Times New Roman" w:hAnsi="Times New Roman" w:cs="Times New Roman"/>
          <w:sz w:val="24"/>
          <w:szCs w:val="24"/>
        </w:rPr>
        <w:t>тьютори</w:t>
      </w:r>
      <w:proofErr w:type="spellEnd"/>
      <w:r w:rsidRPr="007A27F0">
        <w:rPr>
          <w:rFonts w:ascii="Times New Roman" w:hAnsi="Times New Roman" w:cs="Times New Roman"/>
          <w:sz w:val="24"/>
          <w:szCs w:val="24"/>
        </w:rPr>
        <w:t xml:space="preserve"> та випускники </w:t>
      </w:r>
      <w:proofErr w:type="spellStart"/>
      <w:r w:rsidRPr="007A27F0">
        <w:rPr>
          <w:rFonts w:ascii="Times New Roman" w:hAnsi="Times New Roman" w:cs="Times New Roman"/>
          <w:sz w:val="24"/>
          <w:szCs w:val="24"/>
        </w:rPr>
        <w:t>Еразмус+мобільності</w:t>
      </w:r>
      <w:proofErr w:type="spellEnd"/>
      <w:r w:rsidRPr="007A27F0">
        <w:rPr>
          <w:rFonts w:ascii="Times New Roman" w:hAnsi="Times New Roman" w:cs="Times New Roman"/>
          <w:sz w:val="24"/>
          <w:szCs w:val="24"/>
        </w:rPr>
        <w:t>.   Члени Комісії, які мають конфлікт інтересів щодо відбору учасників, не беруть участь у роботі Комісії.</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3.3. Основними принципами організації конкурсу є: відкритість, прозорість, упорядкованість та доступність. Уся інформація та документація про Програму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 академічна мобільність та конкурс, а саме: терміни, умови проведення конкурсу та критерії відбору кандидатів, поширюються на сайті Університету та  в соціальних мережах, а також презентується на інституційному рівні.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3.4 Етапи та критерії відбору кандидатів, а також перелік необхідних документів для участі в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 мобільності і процедура їх подання можуть бути регламентовані  угодами між закладами-партнерами.</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3.5. Подання конкурсних документів кандидатом здійснюється відповідно до вимог конкурсу у встановлені терміни. Документи, що не відповідають встановленим вимогам або подані після кінцевого терміну подачі документів, не приймаються.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3.5.1. Перелік документів для участі в конкурсі для кандидатів з числа здобувачів освіти: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резюме (встановленого зразка);</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сертифікат про знання іноземної мови не нижче рівня B1 або сертифікат(</w:t>
      </w:r>
      <w:proofErr w:type="spellStart"/>
      <w:r w:rsidRPr="007A27F0">
        <w:rPr>
          <w:rFonts w:ascii="Times New Roman" w:hAnsi="Times New Roman" w:cs="Times New Roman"/>
          <w:sz w:val="24"/>
          <w:szCs w:val="24"/>
        </w:rPr>
        <w:t>Language</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Assessment</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Sheet</w:t>
      </w:r>
      <w:proofErr w:type="spellEnd"/>
      <w:r w:rsidRPr="007A27F0">
        <w:rPr>
          <w:rFonts w:ascii="Times New Roman" w:hAnsi="Times New Roman" w:cs="Times New Roman"/>
          <w:sz w:val="24"/>
          <w:szCs w:val="24"/>
        </w:rPr>
        <w:t>)  завірений викладачем іноземної мови Університету.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мотиваційний лист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рекомендаційний лист від </w:t>
      </w:r>
      <w:proofErr w:type="spellStart"/>
      <w:r w:rsidRPr="007A27F0">
        <w:rPr>
          <w:rFonts w:ascii="Times New Roman" w:hAnsi="Times New Roman" w:cs="Times New Roman"/>
          <w:sz w:val="24"/>
          <w:szCs w:val="24"/>
        </w:rPr>
        <w:t>тьютора</w:t>
      </w:r>
      <w:proofErr w:type="spellEnd"/>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u w:val="single"/>
        </w:rPr>
      </w:pPr>
      <w:r w:rsidRPr="007A27F0">
        <w:rPr>
          <w:rFonts w:ascii="Times New Roman" w:hAnsi="Times New Roman" w:cs="Times New Roman"/>
          <w:sz w:val="24"/>
          <w:szCs w:val="24"/>
          <w:u w:val="single"/>
        </w:rPr>
        <w:t>для здобувачів освітнього рівня “Бакалавр”:</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виписка із залікової книжки за попередню екзаменаційну сесію.</w:t>
      </w:r>
    </w:p>
    <w:p w:rsidR="006D6A40" w:rsidRPr="007A27F0" w:rsidRDefault="006D6A40" w:rsidP="006D6A40">
      <w:pPr>
        <w:spacing w:after="0"/>
        <w:jc w:val="both"/>
        <w:rPr>
          <w:rFonts w:ascii="Times New Roman" w:hAnsi="Times New Roman" w:cs="Times New Roman"/>
          <w:sz w:val="24"/>
          <w:szCs w:val="24"/>
          <w:u w:val="single"/>
        </w:rPr>
      </w:pPr>
      <w:r w:rsidRPr="007A27F0">
        <w:rPr>
          <w:rFonts w:ascii="Times New Roman" w:hAnsi="Times New Roman" w:cs="Times New Roman"/>
          <w:sz w:val="24"/>
          <w:szCs w:val="24"/>
          <w:u w:val="single"/>
        </w:rPr>
        <w:t>для здобувачів освітнього рівня “Магістр”:</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скановану копію диплому бакалавра з додатком до диплома та виписка із залікової книжки за попередню екзаменаційну сесію ;●</w:t>
      </w:r>
      <w:r w:rsidRPr="007A27F0">
        <w:rPr>
          <w:rFonts w:ascii="Times New Roman" w:hAnsi="Times New Roman" w:cs="Times New Roman"/>
          <w:sz w:val="24"/>
          <w:szCs w:val="24"/>
        </w:rPr>
        <w:tab/>
        <w:t xml:space="preserve">план наукового стажування кандидата в приймаючому ЗВО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рекомендаційний лист від наукового керівника</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лист-запрошення з приймаючого університету.</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3.6. З відібраними кандидатами Університет та приймаючий ЗВО підписує Угоду про навчання  (</w:t>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де  вказуються навчальні дисципліни, які кандидат буде вивчати протягом академічної мобільності в </w:t>
      </w:r>
      <w:proofErr w:type="spellStart"/>
      <w:r w:rsidRPr="007A27F0">
        <w:rPr>
          <w:rFonts w:ascii="Times New Roman" w:hAnsi="Times New Roman" w:cs="Times New Roman"/>
          <w:sz w:val="24"/>
          <w:szCs w:val="24"/>
        </w:rPr>
        <w:t>приймачому</w:t>
      </w:r>
      <w:proofErr w:type="spellEnd"/>
      <w:r w:rsidRPr="007A27F0">
        <w:rPr>
          <w:rFonts w:ascii="Times New Roman" w:hAnsi="Times New Roman" w:cs="Times New Roman"/>
          <w:sz w:val="24"/>
          <w:szCs w:val="24"/>
        </w:rPr>
        <w:t xml:space="preserve"> ЗВО.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3.7. На фінальному етапі конкурсу Координатор ЦМО відправляє документи кандидатів англійською мовою до приймаючого ЗВО: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w:t>
      </w:r>
      <w:r w:rsidRPr="007A27F0">
        <w:rPr>
          <w:rFonts w:ascii="Times New Roman" w:hAnsi="Times New Roman" w:cs="Times New Roman"/>
          <w:sz w:val="24"/>
          <w:szCs w:val="24"/>
        </w:rPr>
        <w:tab/>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із зазначенням освітніх компонентів/курсів, обсягу навчальної роботи/кількості кредитів ЄКТС (30 кредитів/семестр), погоджений та підписаний здобувачем вищої освіти і Координатором</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виписку з залікової книжки з оцінками з кожної дисципліни за попередню сесію  (далі – </w:t>
      </w:r>
      <w:proofErr w:type="spellStart"/>
      <w:r w:rsidRPr="007A27F0">
        <w:rPr>
          <w:rFonts w:ascii="Times New Roman" w:hAnsi="Times New Roman" w:cs="Times New Roman"/>
          <w:sz w:val="24"/>
          <w:szCs w:val="24"/>
        </w:rPr>
        <w:t>Transcript</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of</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Records</w:t>
      </w:r>
      <w:proofErr w:type="spellEnd"/>
      <w:r w:rsidRPr="007A27F0">
        <w:rPr>
          <w:rFonts w:ascii="Times New Roman" w:hAnsi="Times New Roman" w:cs="Times New Roman"/>
          <w:sz w:val="24"/>
          <w:szCs w:val="24"/>
        </w:rPr>
        <w:t>), завірену в деканаті, переклад, завірений в ЦМО;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мотиваційний лист.</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протокол засідання конкурсної комісії.</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3.8. На основі поданих документів кандидати запрошуються на співбесіду, яку проводить Конкурсна комісія(див. пункт 3.2). Під час співбесіди додатково перевіряються </w:t>
      </w:r>
      <w:proofErr w:type="spellStart"/>
      <w:r w:rsidRPr="007A27F0">
        <w:rPr>
          <w:rFonts w:ascii="Times New Roman" w:hAnsi="Times New Roman" w:cs="Times New Roman"/>
          <w:sz w:val="24"/>
          <w:szCs w:val="24"/>
        </w:rPr>
        <w:t>мовні</w:t>
      </w:r>
      <w:proofErr w:type="spellEnd"/>
      <w:r w:rsidRPr="007A27F0">
        <w:rPr>
          <w:rFonts w:ascii="Times New Roman" w:hAnsi="Times New Roman" w:cs="Times New Roman"/>
          <w:sz w:val="24"/>
          <w:szCs w:val="24"/>
        </w:rPr>
        <w:t xml:space="preserve"> компетентності кандидатів. Рішення Комісії закріплюється протоколом, який ведеться двома мовами. ЦМО інформує учасників конкурсу та приймаючий ЗВО про результати конкурсного відбору. Рішення Конкурсної Комісії є остаточним та оскарженню не підлягає.</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3.9. У разі викладацької мобільності та стажування для участі в конкурсі педагогічним, науково-педагогічним, науковим та іншим працівникам необхідно до визначеного терміну надіслати в електронній формі до ЦМО такі документи англійською мовою:</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 CV (рекомендовано формат </w:t>
      </w:r>
      <w:proofErr w:type="spellStart"/>
      <w:r w:rsidRPr="007A27F0">
        <w:rPr>
          <w:rFonts w:ascii="Times New Roman" w:hAnsi="Times New Roman" w:cs="Times New Roman"/>
          <w:sz w:val="24"/>
          <w:szCs w:val="24"/>
        </w:rPr>
        <w:t>Europass</w:t>
      </w:r>
      <w:proofErr w:type="spellEnd"/>
      <w:r w:rsidRPr="007A27F0">
        <w:rPr>
          <w:rFonts w:ascii="Times New Roman" w:hAnsi="Times New Roman" w:cs="Times New Roman"/>
          <w:sz w:val="24"/>
          <w:szCs w:val="24"/>
        </w:rPr>
        <w:t>);</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фотокопію/</w:t>
      </w:r>
      <w:proofErr w:type="spellStart"/>
      <w:r w:rsidRPr="007A27F0">
        <w:rPr>
          <w:rFonts w:ascii="Times New Roman" w:hAnsi="Times New Roman" w:cs="Times New Roman"/>
          <w:sz w:val="24"/>
          <w:szCs w:val="24"/>
        </w:rPr>
        <w:t>скан</w:t>
      </w:r>
      <w:proofErr w:type="spellEnd"/>
      <w:r w:rsidRPr="007A27F0">
        <w:rPr>
          <w:rFonts w:ascii="Times New Roman" w:hAnsi="Times New Roman" w:cs="Times New Roman"/>
          <w:sz w:val="24"/>
          <w:szCs w:val="24"/>
        </w:rPr>
        <w:t xml:space="preserve"> першої сторінки закордонного паспорта;</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довідку з місця роботи  встановленого зразка, підписану деканом факультету чи керівником структурного підрозділу;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сертифікат про знання іноземної мови не нижче рівня B1 (рекомендація </w:t>
      </w:r>
      <w:proofErr w:type="spellStart"/>
      <w:r w:rsidRPr="007A27F0">
        <w:rPr>
          <w:rFonts w:ascii="Times New Roman" w:hAnsi="Times New Roman" w:cs="Times New Roman"/>
          <w:sz w:val="24"/>
          <w:szCs w:val="24"/>
        </w:rPr>
        <w:t>завідучача</w:t>
      </w:r>
      <w:proofErr w:type="spellEnd"/>
      <w:r w:rsidRPr="007A27F0">
        <w:rPr>
          <w:rFonts w:ascii="Times New Roman" w:hAnsi="Times New Roman" w:cs="Times New Roman"/>
          <w:sz w:val="24"/>
          <w:szCs w:val="24"/>
        </w:rPr>
        <w:t xml:space="preserve"> кафедри іноземних мов)</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лист-запрошення з приймаючого ЗВО (якщо передбачено вимогами конкурсу);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мотиваційний лист.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3.9.1. Після отримання підтвердження/запрошення від приймаючого ЗВО  учасники програми підписують договір з Університетом та приймаючим ЗВО. На основі договору формується наказ про закордонне відрядження. Учасник програми мобільності несе відповідальність за вчасне оформлення відрядження за кордон, отримання візи відповідно до термінів, вказаних у запрошенні.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3.10.  Координатори інформують учасників про фінансові умови участі в академічній мобільності відповідно до умов  угоди, підписаної з приймаючим ЗВО.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4. КРИТЕРІЇ ДЛЯ ВИЗНАЧЕННЯ ПЕРЕМОЖЦІВ КОНКУРСІВ НА УЧАСТЬ У</w:t>
      </w: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ПРОГРАМІ ЕРАЗМУС+ АКАДЕМІЧНОЇ МОБІЛЬНОСТІ ДЛЯ ЗДОБУВАЧІВ ВИЩОЇ</w:t>
      </w: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ОСВІТИ ТА ПРАЦІВНИКІВ УНІВЕРСИТЕТУ</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 Переможцем у конкурсі на здобуття права участі в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академічній мобільності є здобувач вищої освіти, який набрав найбільшу кількість балів  (25 балів) серед  інших учасників конкурсу, виходячи з таких критеріїв: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4.1.1. Академічна успішність (на основі ЄКТС-рейтингу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Академічна успішність оцінюється на основі ЄКТС-рейтингу студента. Здобувач вищої освіти вважається допущеним до наступного етапу конкурсу, якщо його середня оцінка відповідає рівню “C” або вище.</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 A, B, C – допущено до наступного етапу конкурсу.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 xml:space="preserve"> • D, E, FX, F – </w:t>
      </w:r>
      <w:proofErr w:type="spellStart"/>
      <w:r w:rsidRPr="007A27F0">
        <w:rPr>
          <w:rFonts w:ascii="Times New Roman" w:hAnsi="Times New Roman" w:cs="Times New Roman"/>
          <w:sz w:val="24"/>
          <w:szCs w:val="24"/>
        </w:rPr>
        <w:t>недопущено</w:t>
      </w:r>
      <w:proofErr w:type="spellEnd"/>
      <w:r w:rsidRPr="007A27F0">
        <w:rPr>
          <w:rFonts w:ascii="Times New Roman" w:hAnsi="Times New Roman" w:cs="Times New Roman"/>
          <w:sz w:val="24"/>
          <w:szCs w:val="24"/>
        </w:rPr>
        <w:t xml:space="preserve"> до наступного етапу конкурсу.</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4.1.2. Знання іноземної мови (максимум 15 балів). Оцінюється на підставі сертифіката, наданого  викладачем Університету, або іншого офіційного документа, що містить відомості про рівень володіння іноземною мовою на кшталт  (TOEFL, IELTS, FCE/CAE та PTE, </w:t>
      </w:r>
      <w:proofErr w:type="spellStart"/>
      <w:r w:rsidRPr="007A27F0">
        <w:rPr>
          <w:rFonts w:ascii="Times New Roman" w:hAnsi="Times New Roman" w:cs="Times New Roman"/>
          <w:sz w:val="24"/>
          <w:szCs w:val="24"/>
        </w:rPr>
        <w:t>TestDaF</w:t>
      </w:r>
      <w:proofErr w:type="spellEnd"/>
      <w:r w:rsidRPr="007A27F0">
        <w:rPr>
          <w:rFonts w:ascii="Times New Roman" w:hAnsi="Times New Roman" w:cs="Times New Roman"/>
          <w:sz w:val="24"/>
          <w:szCs w:val="24"/>
        </w:rPr>
        <w:t>, DSDI або II, DELF/DALF, DELE, PLIDA тощо). Рівень B1 − 5 балів; Рівень В2 − 10 балів; Рівень С1/С2 - 15 балів.</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4.1.3. Академічний профіль (максимум 10 балів). Якісна оцінка позицій резюме (CV), складеного згідно з встановленим зразком: рівень професійної компетентності/досвід роботи за фахом (1 бал); досвід міжкультурних комунікацій, зокрема, участь у міжнародних школах, конференціях, тренінгах тощо (2 бали); активна участь у навчальній, науковій, громадській чи іншій суспільно корисній діяльності (1 бал); наявність сертифікатів, дипломів, грамот</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та ін. за період навчання в Університеті (1 бал); участь (призове місце) в олімпіадах, конкурсах інноваційних </w:t>
      </w:r>
      <w:proofErr w:type="spellStart"/>
      <w:r w:rsidRPr="007A27F0">
        <w:rPr>
          <w:rFonts w:ascii="Times New Roman" w:hAnsi="Times New Roman" w:cs="Times New Roman"/>
          <w:sz w:val="24"/>
          <w:szCs w:val="24"/>
        </w:rPr>
        <w:t>проєктів</w:t>
      </w:r>
      <w:proofErr w:type="spellEnd"/>
      <w:r w:rsidRPr="007A27F0">
        <w:rPr>
          <w:rFonts w:ascii="Times New Roman" w:hAnsi="Times New Roman" w:cs="Times New Roman"/>
          <w:sz w:val="24"/>
          <w:szCs w:val="24"/>
        </w:rPr>
        <w:t xml:space="preserve">, наукових робіт за фахом за період навчання в Університеті (у всеукраїнських конкурсах та </w:t>
      </w:r>
      <w:proofErr w:type="spellStart"/>
      <w:r w:rsidRPr="007A27F0">
        <w:rPr>
          <w:rFonts w:ascii="Times New Roman" w:hAnsi="Times New Roman" w:cs="Times New Roman"/>
          <w:sz w:val="24"/>
          <w:szCs w:val="24"/>
        </w:rPr>
        <w:t>проєктах</w:t>
      </w:r>
      <w:proofErr w:type="spellEnd"/>
      <w:r w:rsidRPr="007A27F0">
        <w:rPr>
          <w:rFonts w:ascii="Times New Roman" w:hAnsi="Times New Roman" w:cs="Times New Roman"/>
          <w:sz w:val="24"/>
          <w:szCs w:val="24"/>
        </w:rPr>
        <w:t xml:space="preserve"> – (1 бал), у міжнародних конкурсах та </w:t>
      </w:r>
      <w:proofErr w:type="spellStart"/>
      <w:r w:rsidRPr="007A27F0">
        <w:rPr>
          <w:rFonts w:ascii="Times New Roman" w:hAnsi="Times New Roman" w:cs="Times New Roman"/>
          <w:sz w:val="24"/>
          <w:szCs w:val="24"/>
        </w:rPr>
        <w:t>проєктах</w:t>
      </w:r>
      <w:proofErr w:type="spellEnd"/>
      <w:r w:rsidRPr="007A27F0">
        <w:rPr>
          <w:rFonts w:ascii="Times New Roman" w:hAnsi="Times New Roman" w:cs="Times New Roman"/>
          <w:sz w:val="24"/>
          <w:szCs w:val="24"/>
        </w:rPr>
        <w:t xml:space="preserve"> –(2 бали); участь у ІІ (другому) етапі конкурсу на участь в академічній мобільності (2 бали).</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4.1.4. Мотиваційний лист (максимум 10 балів). Якісна оцінка мотиваційного листа (5 балів): логічність, послідовність та грамотність; прагнення до професійного розвитку; обґрунтування доцільності участі у програмі мобільності особисто для здобувача вищої освіти і для Університету; доведена мотивація на співбесіді (5 балів).</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4.1.5.  Якщо два і більше кандидатів набрали однакову кількість конкурсних балів, то перевага надається кандидату з вищим рівнем академічної успішності та вищим рівнем </w:t>
      </w:r>
      <w:proofErr w:type="spellStart"/>
      <w:r w:rsidRPr="007A27F0">
        <w:rPr>
          <w:rFonts w:ascii="Times New Roman" w:hAnsi="Times New Roman" w:cs="Times New Roman"/>
          <w:sz w:val="24"/>
          <w:szCs w:val="24"/>
        </w:rPr>
        <w:t>мовної</w:t>
      </w:r>
      <w:proofErr w:type="spellEnd"/>
      <w:r w:rsidRPr="007A27F0">
        <w:rPr>
          <w:rFonts w:ascii="Times New Roman" w:hAnsi="Times New Roman" w:cs="Times New Roman"/>
          <w:sz w:val="24"/>
          <w:szCs w:val="24"/>
        </w:rPr>
        <w:t xml:space="preserve"> компетентності. Якщо два і більше здобувачі третього </w:t>
      </w:r>
      <w:proofErr w:type="spellStart"/>
      <w:r w:rsidRPr="007A27F0">
        <w:rPr>
          <w:rFonts w:ascii="Times New Roman" w:hAnsi="Times New Roman" w:cs="Times New Roman"/>
          <w:sz w:val="24"/>
          <w:szCs w:val="24"/>
        </w:rPr>
        <w:t>освітньо</w:t>
      </w:r>
      <w:proofErr w:type="spellEnd"/>
      <w:r w:rsidRPr="007A27F0">
        <w:rPr>
          <w:rFonts w:ascii="Times New Roman" w:hAnsi="Times New Roman" w:cs="Times New Roman"/>
          <w:sz w:val="24"/>
          <w:szCs w:val="24"/>
        </w:rPr>
        <w:t xml:space="preserve">-наукового рівня вищої освіти набрали однакову кількість балів, то перевага надається кандидату з </w:t>
      </w:r>
      <w:proofErr w:type="spellStart"/>
      <w:r w:rsidRPr="007A27F0">
        <w:rPr>
          <w:rFonts w:ascii="Times New Roman" w:hAnsi="Times New Roman" w:cs="Times New Roman"/>
          <w:sz w:val="24"/>
          <w:szCs w:val="24"/>
        </w:rPr>
        <w:t>вищем</w:t>
      </w:r>
      <w:proofErr w:type="spellEnd"/>
      <w:r w:rsidRPr="007A27F0">
        <w:rPr>
          <w:rFonts w:ascii="Times New Roman" w:hAnsi="Times New Roman" w:cs="Times New Roman"/>
          <w:sz w:val="24"/>
          <w:szCs w:val="24"/>
        </w:rPr>
        <w:t xml:space="preserve"> рівнем </w:t>
      </w:r>
      <w:proofErr w:type="spellStart"/>
      <w:r w:rsidRPr="007A27F0">
        <w:rPr>
          <w:rFonts w:ascii="Times New Roman" w:hAnsi="Times New Roman" w:cs="Times New Roman"/>
          <w:sz w:val="24"/>
          <w:szCs w:val="24"/>
        </w:rPr>
        <w:t>мовної</w:t>
      </w:r>
      <w:proofErr w:type="spellEnd"/>
      <w:r w:rsidRPr="007A27F0">
        <w:rPr>
          <w:rFonts w:ascii="Times New Roman" w:hAnsi="Times New Roman" w:cs="Times New Roman"/>
          <w:sz w:val="24"/>
          <w:szCs w:val="24"/>
        </w:rPr>
        <w:t xml:space="preserve"> компетентності.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4.1.6. Кандидатам з вразливих груп (обмежене фінансове становище або життя та </w:t>
      </w:r>
      <w:proofErr w:type="spellStart"/>
      <w:r w:rsidRPr="007A27F0">
        <w:rPr>
          <w:rFonts w:ascii="Times New Roman" w:hAnsi="Times New Roman" w:cs="Times New Roman"/>
          <w:sz w:val="24"/>
          <w:szCs w:val="24"/>
        </w:rPr>
        <w:t>здоровʼя</w:t>
      </w:r>
      <w:proofErr w:type="spellEnd"/>
      <w:r w:rsidRPr="007A27F0">
        <w:rPr>
          <w:rFonts w:ascii="Times New Roman" w:hAnsi="Times New Roman" w:cs="Times New Roman"/>
          <w:sz w:val="24"/>
          <w:szCs w:val="24"/>
        </w:rPr>
        <w:t xml:space="preserve"> яких знаходиться під загрозою через агресивні дії російської федерації на території України тощо) за умови відповідності  вимогам конкурсу надається перевага.</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4.1.7. Повторна участь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можлива на тому самому рівні навчання за умов надання “нульового гранту”( що це, цей термін ніде не пояснюється?) або з частковим/повним покриттям видатків. Максимальний термін участі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становить 12 місяців.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5. ПОРЯДОК ОФОРМЛЕННЯ ІНДИВІДУАЛЬНОГО НАВЧАЛЬНОГО ПЛАНУ</w:t>
      </w: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АКАДЕМІЧНОЇ МОБІЛЬНОСТІ</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5.1. На час реалізації програм академічної мобільності, кандидати продовжують навчання в Університеті відповідно до Індивідуального плану навчання.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5.1.1. Індивідуальний навчальний план за умови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академічної мобільності (далі – ІНП) здобувачів вищої освіти, які беруть участь у програмах академічної мобільності – це </w:t>
      </w:r>
      <w:r w:rsidRPr="007A27F0">
        <w:rPr>
          <w:rFonts w:ascii="Times New Roman" w:hAnsi="Times New Roman" w:cs="Times New Roman"/>
          <w:sz w:val="24"/>
          <w:szCs w:val="24"/>
        </w:rPr>
        <w:lastRenderedPageBreak/>
        <w:t xml:space="preserve">документ, що встановлює порядок вивчення освітніх компонентів та складання контрольних заходів за результатами навчання в Університеті та приймаючому ЗВО.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5.2. ІНП здобувачів вищої освіти оформлюють, як правило, терміном на один семестр, залежно від початку та тривалості програми академічної мобільності, а також об'єктивної можливості здобувачів вищої освіти скласти заліки та іспити з освітніх компонентів, вивчення яких передбачено робочим навчальним планом Університету під час програми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5.3. Усі освітні компоненти, включені до ІНП, є обов'язковими для вивчення. За виконання ІНП персональну відповідальність несе здобувач вищої освіти, учасник програми мобільності.  Навчання за ІНП не звільняє здобувачів вищої освіти Університету від виконання навчальної програми в Університеті.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5.4. ІНП здобувачів вищої освіти складають на підставі робочого навчального плану, включаючи нормативні та вибіркові освітні компоненти, вивчення яких передбачається на період участі здобувачів вищої освіти у програмах академічної мобільності, погоджується  завідувачем кафедри та ухвалюється  деканом факультету/ директором інституту.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5.5. Кафедра та деканат здійснює контроль за виконанням ІНП: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r>
      <w:proofErr w:type="spellStart"/>
      <w:r w:rsidRPr="007A27F0">
        <w:rPr>
          <w:rFonts w:ascii="Times New Roman" w:hAnsi="Times New Roman" w:cs="Times New Roman"/>
          <w:sz w:val="24"/>
          <w:szCs w:val="24"/>
        </w:rPr>
        <w:t>тьютор</w:t>
      </w:r>
      <w:proofErr w:type="spellEnd"/>
      <w:r w:rsidRPr="007A27F0">
        <w:rPr>
          <w:rFonts w:ascii="Times New Roman" w:hAnsi="Times New Roman" w:cs="Times New Roman"/>
          <w:sz w:val="24"/>
          <w:szCs w:val="24"/>
        </w:rPr>
        <w:t xml:space="preserve"> надає рекомендації учаснику мобільності щодо формування ІНП та погоджує його із завідувачами кафедр, які забезпечують викладання відповідного освітнього компоненту та подає ІНП на затвердження декану факультету;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кафедра здійснює контроль за реалізацією ІНП учасником мобільності на підставі відомостей та </w:t>
      </w:r>
      <w:proofErr w:type="spellStart"/>
      <w:r w:rsidRPr="007A27F0">
        <w:rPr>
          <w:rFonts w:ascii="Times New Roman" w:hAnsi="Times New Roman" w:cs="Times New Roman"/>
          <w:sz w:val="24"/>
          <w:szCs w:val="24"/>
        </w:rPr>
        <w:t>отриманного</w:t>
      </w:r>
      <w:proofErr w:type="spellEnd"/>
      <w:r w:rsidRPr="007A27F0">
        <w:rPr>
          <w:rFonts w:ascii="Times New Roman" w:hAnsi="Times New Roman" w:cs="Times New Roman"/>
          <w:sz w:val="24"/>
          <w:szCs w:val="24"/>
        </w:rPr>
        <w:t xml:space="preserve"> сертифікату в приймаючому ЗВО, і  здійснює разом з деканатом  </w:t>
      </w:r>
      <w:proofErr w:type="spellStart"/>
      <w:r w:rsidRPr="007A27F0">
        <w:rPr>
          <w:rFonts w:ascii="Times New Roman" w:hAnsi="Times New Roman" w:cs="Times New Roman"/>
          <w:sz w:val="24"/>
          <w:szCs w:val="24"/>
        </w:rPr>
        <w:t>перезарахування</w:t>
      </w:r>
      <w:proofErr w:type="spellEnd"/>
      <w:r w:rsidRPr="007A27F0">
        <w:rPr>
          <w:rFonts w:ascii="Times New Roman" w:hAnsi="Times New Roman" w:cs="Times New Roman"/>
          <w:sz w:val="24"/>
          <w:szCs w:val="24"/>
        </w:rPr>
        <w:t xml:space="preserve"> результатів навчання у приймаючому ЗВО.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5.6. Підставою для підготовки та внесення </w:t>
      </w:r>
      <w:proofErr w:type="spellStart"/>
      <w:r w:rsidRPr="007A27F0">
        <w:rPr>
          <w:rFonts w:ascii="Times New Roman" w:hAnsi="Times New Roman" w:cs="Times New Roman"/>
          <w:sz w:val="24"/>
          <w:szCs w:val="24"/>
        </w:rPr>
        <w:t>проєкту</w:t>
      </w:r>
      <w:proofErr w:type="spellEnd"/>
      <w:r w:rsidRPr="007A27F0">
        <w:rPr>
          <w:rFonts w:ascii="Times New Roman" w:hAnsi="Times New Roman" w:cs="Times New Roman"/>
          <w:sz w:val="24"/>
          <w:szCs w:val="24"/>
        </w:rPr>
        <w:t xml:space="preserve"> наказу про направлення на навчання за програмою академічної мобільності та переведення на ІНП є такі документи: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заява на ім'я ректора про скерування на навчання за програмою академічної мобільності та переведення на ІНП із візою-погодженням декана факультету і резолюцією проректора з науково-педагогічної роботи та директора ЦМО;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копія запрошення та  його переклад, завірений в ЦМО;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ІНП, підписаний учасником мобільності, завідувачем кафедри та затверджений деканом факультету;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копія </w:t>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підписана студентом, Координатором академічної мобільності та приймаючим ЗВО.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5.7. Рішення про скерування здобувачів вищої освіти на навчання за програмою академічної мобільності та переведення на ІНП вводять в дію наказом ректора Університету, </w:t>
      </w:r>
      <w:proofErr w:type="spellStart"/>
      <w:r w:rsidRPr="007A27F0">
        <w:rPr>
          <w:rFonts w:ascii="Times New Roman" w:hAnsi="Times New Roman" w:cs="Times New Roman"/>
          <w:sz w:val="24"/>
          <w:szCs w:val="24"/>
        </w:rPr>
        <w:t>проєкт</w:t>
      </w:r>
      <w:proofErr w:type="spellEnd"/>
      <w:r w:rsidRPr="007A27F0">
        <w:rPr>
          <w:rFonts w:ascii="Times New Roman" w:hAnsi="Times New Roman" w:cs="Times New Roman"/>
          <w:sz w:val="24"/>
          <w:szCs w:val="24"/>
        </w:rPr>
        <w:t xml:space="preserve"> якого готує ЦМО.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5.8. Після повернення до Університету учасники мобільності (здобувачі вищої освіти рівня Бакалавр та Магістр) подають Координатору та завідувачу кафедри копії документів про завершення навчання в приймаючому ЗВО з обов’язковим зазначенням назв освітніх компонентів, загальної кількості годин, залікових кредитів та оцінок, завірений у встановленому порядку в приймаючому ЗВО.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5.9 Після повернення до Університету учасники мобільності (здобувачі третього науково-освітнього рівня)  подають Координатору та науковому керівнику копії документів про завершення навчання в приймаючому ЗВО з обов’язковим зазначенням назв освітніх компонентів, загальної кількості годин, залікових кредитів та оцінок, а також звіт про виконання плану дослідження,  завірений в приймаючому ЗВО.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5.10. Після повернення до Університету наукові, науково-педагогічні, педагогічні та інші працівники подають до ЦМО копію документа, що засвідчує результати академічної мобільності (сертифікат) та звіт, який має містити: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опис викладацької, наукової або адміністративної роботи, здійсненої за час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Звіт про результати участі в академічній мобільності необхідно подати у ЦМО та відповідних структурних підрозділів  упродовж трьох тижнів.</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6. ПРИНЦИПИ ПЕРЕЗАРАХУВАННЯ РЕЗУЛЬТАТІВ НАВЧАННЯ ЗА</w:t>
      </w: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ПРОГРАМАМИ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6.1. Визнання результатів навчання та </w:t>
      </w:r>
      <w:proofErr w:type="spellStart"/>
      <w:r w:rsidRPr="007A27F0">
        <w:rPr>
          <w:rFonts w:ascii="Times New Roman" w:hAnsi="Times New Roman" w:cs="Times New Roman"/>
          <w:sz w:val="24"/>
          <w:szCs w:val="24"/>
        </w:rPr>
        <w:t>перезарахування</w:t>
      </w:r>
      <w:proofErr w:type="spellEnd"/>
      <w:r w:rsidRPr="007A27F0">
        <w:rPr>
          <w:rFonts w:ascii="Times New Roman" w:hAnsi="Times New Roman" w:cs="Times New Roman"/>
          <w:sz w:val="24"/>
          <w:szCs w:val="24"/>
        </w:rPr>
        <w:t xml:space="preserve"> кредитів ЄКТС, отриманих у результаті участі в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 мобільності, є основним принципом та обов’язковою умовою програм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6.2. У процесі визнання результатів навчання за програмою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академічної мобільності застосовується система ЄКТС, створена для забезпечення єдиної міждержавної процедури оцінювання, виміру та порівняння результатів навчання, передачі документів про навчання у  приймаючому ЗВО, від одного ЗВО до іншого як в Україні, так і за її межами.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6.3. Порівняння обсягу навчального навантаження в межах програми </w:t>
      </w:r>
      <w:proofErr w:type="spellStart"/>
      <w:r w:rsidRPr="007A27F0">
        <w:rPr>
          <w:rFonts w:ascii="Times New Roman" w:hAnsi="Times New Roman" w:cs="Times New Roman"/>
          <w:sz w:val="24"/>
          <w:szCs w:val="24"/>
        </w:rPr>
        <w:t>Еразмус+академічної</w:t>
      </w:r>
      <w:proofErr w:type="spellEnd"/>
      <w:r w:rsidRPr="007A27F0">
        <w:rPr>
          <w:rFonts w:ascii="Times New Roman" w:hAnsi="Times New Roman" w:cs="Times New Roman"/>
          <w:sz w:val="24"/>
          <w:szCs w:val="24"/>
        </w:rPr>
        <w:t xml:space="preserve"> мобільності ґрунтується на зіставленні результатів навчання, яких було досягнуто учасником мобільності у приймаючому ЗВО, та результатів навчання, запланованих освітньою програмою Університету, в якому здобувач вищої освіти навчається на постійній основі. У разі відсутності повної кореляції між обраними освітніми компонентами в приймаючих ЗВО та ІНП учасник мобільності </w:t>
      </w:r>
      <w:proofErr w:type="spellStart"/>
      <w:r w:rsidRPr="007A27F0">
        <w:rPr>
          <w:rFonts w:ascii="Times New Roman" w:hAnsi="Times New Roman" w:cs="Times New Roman"/>
          <w:sz w:val="24"/>
          <w:szCs w:val="24"/>
        </w:rPr>
        <w:t>зобовʼязаний</w:t>
      </w:r>
      <w:proofErr w:type="spellEnd"/>
      <w:r w:rsidRPr="007A27F0">
        <w:rPr>
          <w:rFonts w:ascii="Times New Roman" w:hAnsi="Times New Roman" w:cs="Times New Roman"/>
          <w:sz w:val="24"/>
          <w:szCs w:val="24"/>
        </w:rPr>
        <w:t xml:space="preserve"> складати підсумкову сесію у повному обсязі.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6.4. З метою своєчасного і оптимального визнання результатів навчання за програмою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академічної мобільності здобувачі вищої освіти зобов'язані  своєчасно подати  заяву про відтермінування дат </w:t>
      </w:r>
      <w:proofErr w:type="spellStart"/>
      <w:r w:rsidRPr="007A27F0">
        <w:rPr>
          <w:rFonts w:ascii="Times New Roman" w:hAnsi="Times New Roman" w:cs="Times New Roman"/>
          <w:sz w:val="24"/>
          <w:szCs w:val="24"/>
        </w:rPr>
        <w:t>заліково</w:t>
      </w:r>
      <w:proofErr w:type="spellEnd"/>
      <w:r w:rsidRPr="007A27F0">
        <w:rPr>
          <w:rFonts w:ascii="Times New Roman" w:hAnsi="Times New Roman" w:cs="Times New Roman"/>
          <w:sz w:val="24"/>
          <w:szCs w:val="24"/>
        </w:rPr>
        <w:t>-екзаменаційної сесії до деканату.</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Учасники програми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академічної мобільності для визнання результатів навчання  зобов'язані подати заяву на ім’я декана. До заяви додається: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2) Угода про навчання (</w:t>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3) ІНП;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4) Сертифікат з оцінками та кредитами (</w:t>
      </w:r>
      <w:proofErr w:type="spellStart"/>
      <w:r w:rsidRPr="007A27F0">
        <w:rPr>
          <w:rFonts w:ascii="Times New Roman" w:hAnsi="Times New Roman" w:cs="Times New Roman"/>
          <w:sz w:val="24"/>
          <w:szCs w:val="24"/>
        </w:rPr>
        <w:t>Transcript</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of</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Recor</w:t>
      </w:r>
      <w:proofErr w:type="spellEnd"/>
      <w:r w:rsidRPr="007A27F0">
        <w:rPr>
          <w:rFonts w:ascii="Times New Roman" w:hAnsi="Times New Roman" w:cs="Times New Roman"/>
          <w:sz w:val="24"/>
          <w:szCs w:val="24"/>
          <w:lang w:val="en-US"/>
        </w:rPr>
        <w:t>d</w:t>
      </w:r>
      <w:r w:rsidRPr="007A27F0">
        <w:rPr>
          <w:rFonts w:ascii="Times New Roman" w:hAnsi="Times New Roman" w:cs="Times New Roman"/>
          <w:sz w:val="24"/>
          <w:szCs w:val="24"/>
        </w:rPr>
        <w:t>s).</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6.5. Здобувачі вищої освіти, які на момент завершення академічної мобільності залишаються за кордоном, зобов'язані подати до ЦМО заяву про завершення академічної мобільності для </w:t>
      </w:r>
      <w:r w:rsidRPr="007A27F0">
        <w:rPr>
          <w:rFonts w:ascii="Times New Roman" w:hAnsi="Times New Roman" w:cs="Times New Roman"/>
          <w:sz w:val="24"/>
          <w:szCs w:val="24"/>
        </w:rPr>
        <w:lastRenderedPageBreak/>
        <w:t>оформлення відповідного наказу та, за  необхідності, мають право ліквідувати академічну заборгованість дистанційно.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6.6. Результати навчання, отримані під час участі в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академічної мобільності, визнаються та </w:t>
      </w:r>
      <w:proofErr w:type="spellStart"/>
      <w:r w:rsidRPr="007A27F0">
        <w:rPr>
          <w:rFonts w:ascii="Times New Roman" w:hAnsi="Times New Roman" w:cs="Times New Roman"/>
          <w:sz w:val="24"/>
          <w:szCs w:val="24"/>
        </w:rPr>
        <w:t>перезараховуються</w:t>
      </w:r>
      <w:proofErr w:type="spellEnd"/>
      <w:r w:rsidRPr="007A27F0">
        <w:rPr>
          <w:rFonts w:ascii="Times New Roman" w:hAnsi="Times New Roman" w:cs="Times New Roman"/>
          <w:sz w:val="24"/>
          <w:szCs w:val="24"/>
        </w:rPr>
        <w:t xml:space="preserve"> відповідно до </w:t>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та </w:t>
      </w:r>
      <w:proofErr w:type="spellStart"/>
      <w:r w:rsidRPr="007A27F0">
        <w:rPr>
          <w:rFonts w:ascii="Times New Roman" w:hAnsi="Times New Roman" w:cs="Times New Roman"/>
          <w:sz w:val="24"/>
          <w:szCs w:val="24"/>
        </w:rPr>
        <w:t>Transcript</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of</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Records</w:t>
      </w:r>
      <w:proofErr w:type="spellEnd"/>
      <w:r w:rsidRPr="007A27F0">
        <w:rPr>
          <w:rFonts w:ascii="Times New Roman" w:hAnsi="Times New Roman" w:cs="Times New Roman"/>
          <w:sz w:val="24"/>
          <w:szCs w:val="24"/>
        </w:rPr>
        <w:t>:</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для зимового семестру – до початку першого наступного після повернення здобувача вищої освіти семестрового контролю;</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для літнього семестру – до 31 серпня відповідного року. В окремих випадках цей термін може бути продовжений за розпорядженням декана, але не пізніше дати наказу про переведення здобувачів освіти на наступний навчальний рік.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6.8. Якщо здобувач вищої освіти, учасник мобільності не виконав програму навчання у приймаючому ЗВО у повному обсязі, то він підлягає санкціям, встановленим програмою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Після повернення до Університету, здобувач вищої освіти зобов’язаний ліквідувати академічну заборгованість в повному обсязі.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6.9. Освітній компонент із більшою кількістю кредитів ЄКТС у приймаючому ЗВО </w:t>
      </w:r>
      <w:proofErr w:type="spellStart"/>
      <w:r w:rsidRPr="007A27F0">
        <w:rPr>
          <w:rFonts w:ascii="Times New Roman" w:hAnsi="Times New Roman" w:cs="Times New Roman"/>
          <w:sz w:val="24"/>
          <w:szCs w:val="24"/>
        </w:rPr>
        <w:t>перезараховується</w:t>
      </w:r>
      <w:proofErr w:type="spellEnd"/>
      <w:r w:rsidRPr="007A27F0">
        <w:rPr>
          <w:rFonts w:ascii="Times New Roman" w:hAnsi="Times New Roman" w:cs="Times New Roman"/>
          <w:sz w:val="24"/>
          <w:szCs w:val="24"/>
        </w:rPr>
        <w:t xml:space="preserve"> у відповідності до кількості кредитів ЄКТС цього освітнього компонента в Університеті. Освітній компонент із меншою кількістю кредитів ЄКТС у приймаючому  ЗВО  </w:t>
      </w:r>
      <w:proofErr w:type="spellStart"/>
      <w:r w:rsidRPr="007A27F0">
        <w:rPr>
          <w:rFonts w:ascii="Times New Roman" w:hAnsi="Times New Roman" w:cs="Times New Roman"/>
          <w:sz w:val="24"/>
          <w:szCs w:val="24"/>
        </w:rPr>
        <w:t>перезараховується</w:t>
      </w:r>
      <w:proofErr w:type="spellEnd"/>
      <w:r w:rsidRPr="007A27F0">
        <w:rPr>
          <w:rFonts w:ascii="Times New Roman" w:hAnsi="Times New Roman" w:cs="Times New Roman"/>
          <w:sz w:val="24"/>
          <w:szCs w:val="24"/>
        </w:rPr>
        <w:t xml:space="preserve"> відповідно до здобутої кількості кредитів у приймаючому  ЗВО. При цьому допускається </w:t>
      </w:r>
      <w:proofErr w:type="spellStart"/>
      <w:r w:rsidRPr="007A27F0">
        <w:rPr>
          <w:rFonts w:ascii="Times New Roman" w:hAnsi="Times New Roman" w:cs="Times New Roman"/>
          <w:sz w:val="24"/>
          <w:szCs w:val="24"/>
        </w:rPr>
        <w:t>перезарахування</w:t>
      </w:r>
      <w:proofErr w:type="spellEnd"/>
      <w:r w:rsidRPr="007A27F0">
        <w:rPr>
          <w:rFonts w:ascii="Times New Roman" w:hAnsi="Times New Roman" w:cs="Times New Roman"/>
          <w:sz w:val="24"/>
          <w:szCs w:val="24"/>
        </w:rPr>
        <w:t xml:space="preserve"> декількох освітніх компонентів приймаючого ЗВО як одного в Університеті, або одного освітнього компонента приймаючого ЗВО як декількох в Університеті.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6.10. Для внесення результатів академічної мобільності у додаток до диплома європейського зразка Координатор подає відповідальній особі факультету </w:t>
      </w:r>
      <w:proofErr w:type="spellStart"/>
      <w:r w:rsidRPr="007A27F0">
        <w:rPr>
          <w:rFonts w:ascii="Times New Roman" w:hAnsi="Times New Roman" w:cs="Times New Roman"/>
          <w:sz w:val="24"/>
          <w:szCs w:val="24"/>
        </w:rPr>
        <w:t>Transcript</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of</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Records</w:t>
      </w:r>
      <w:proofErr w:type="spellEnd"/>
      <w:r w:rsidRPr="007A27F0">
        <w:rPr>
          <w:rFonts w:ascii="Times New Roman" w:hAnsi="Times New Roman" w:cs="Times New Roman"/>
          <w:sz w:val="24"/>
          <w:szCs w:val="24"/>
        </w:rPr>
        <w:t xml:space="preserve"> не пізніше, як за місяць до дати закінчення навчання в Університеті. Копію </w:t>
      </w:r>
      <w:proofErr w:type="spellStart"/>
      <w:r w:rsidRPr="007A27F0">
        <w:rPr>
          <w:rFonts w:ascii="Times New Roman" w:hAnsi="Times New Roman" w:cs="Times New Roman"/>
          <w:sz w:val="24"/>
          <w:szCs w:val="24"/>
        </w:rPr>
        <w:t>Transcript</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of</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Records</w:t>
      </w:r>
      <w:proofErr w:type="spellEnd"/>
      <w:r w:rsidRPr="007A27F0">
        <w:rPr>
          <w:rFonts w:ascii="Times New Roman" w:hAnsi="Times New Roman" w:cs="Times New Roman"/>
          <w:sz w:val="24"/>
          <w:szCs w:val="24"/>
        </w:rPr>
        <w:t xml:space="preserve"> Координатор подає в деканат, а копію </w:t>
      </w:r>
      <w:proofErr w:type="spellStart"/>
      <w:r w:rsidRPr="007A27F0">
        <w:rPr>
          <w:rFonts w:ascii="Times New Roman" w:hAnsi="Times New Roman" w:cs="Times New Roman"/>
          <w:sz w:val="24"/>
          <w:szCs w:val="24"/>
        </w:rPr>
        <w:t>Learning</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Agreement</w:t>
      </w:r>
      <w:proofErr w:type="spellEnd"/>
      <w:r w:rsidRPr="007A27F0">
        <w:rPr>
          <w:rFonts w:ascii="Times New Roman" w:hAnsi="Times New Roman" w:cs="Times New Roman"/>
          <w:sz w:val="24"/>
          <w:szCs w:val="24"/>
        </w:rPr>
        <w:t xml:space="preserve"> з усіма заповненими сторінками та завіреними результатами </w:t>
      </w:r>
      <w:proofErr w:type="spellStart"/>
      <w:r w:rsidRPr="007A27F0">
        <w:rPr>
          <w:rFonts w:ascii="Times New Roman" w:hAnsi="Times New Roman" w:cs="Times New Roman"/>
          <w:sz w:val="24"/>
          <w:szCs w:val="24"/>
        </w:rPr>
        <w:t>перезарахування</w:t>
      </w:r>
      <w:proofErr w:type="spellEnd"/>
      <w:r w:rsidRPr="007A27F0">
        <w:rPr>
          <w:rFonts w:ascii="Times New Roman" w:hAnsi="Times New Roman" w:cs="Times New Roman"/>
          <w:sz w:val="24"/>
          <w:szCs w:val="24"/>
        </w:rPr>
        <w:t xml:space="preserve"> – у ЦМО.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6.16. Для відображення результатів академічної мобільності у додатку до</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диплома європейського зразка:</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 у пункті 4.3 “Відомості про програму, накопичені індивідуальні кредити та отримані бали/оцінки” вносити результати </w:t>
      </w:r>
      <w:proofErr w:type="spellStart"/>
      <w:r w:rsidRPr="007A27F0">
        <w:rPr>
          <w:rFonts w:ascii="Times New Roman" w:hAnsi="Times New Roman" w:cs="Times New Roman"/>
          <w:sz w:val="24"/>
          <w:szCs w:val="24"/>
        </w:rPr>
        <w:t>перезарахованих</w:t>
      </w:r>
      <w:proofErr w:type="spellEnd"/>
      <w:r w:rsidRPr="007A27F0">
        <w:rPr>
          <w:rFonts w:ascii="Times New Roman" w:hAnsi="Times New Roman" w:cs="Times New Roman"/>
          <w:sz w:val="24"/>
          <w:szCs w:val="24"/>
        </w:rPr>
        <w:t xml:space="preserve"> освітніх компонентів відповідно до затвердженого </w:t>
      </w:r>
      <w:proofErr w:type="spellStart"/>
      <w:r w:rsidRPr="007A27F0">
        <w:rPr>
          <w:rFonts w:ascii="Times New Roman" w:hAnsi="Times New Roman" w:cs="Times New Roman"/>
          <w:sz w:val="24"/>
          <w:szCs w:val="24"/>
        </w:rPr>
        <w:t>Transcript</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of</w:t>
      </w:r>
      <w:proofErr w:type="spellEnd"/>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Records</w:t>
      </w:r>
      <w:proofErr w:type="spellEnd"/>
      <w:r w:rsidRPr="007A27F0">
        <w:rPr>
          <w:rFonts w:ascii="Times New Roman" w:hAnsi="Times New Roman" w:cs="Times New Roman"/>
          <w:sz w:val="24"/>
          <w:szCs w:val="24"/>
        </w:rPr>
        <w:t>;</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у пункті 6.1.1 “Найменування всіх приймаючих ЗВО  (відокремлених структурних підрозділів ЗВО), у яких здобувається кваліфікація (у тому числі приймаючого ЗВО, в яких здобувач вищої освіти вивчав окремі освітні компоненти за програмами академічної мобільності)”</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вносити  результати освітніх компонентів, які здобувач вищої освіти додатково отримав, перебуваючи на академічній мобільності.</w:t>
      </w:r>
    </w:p>
    <w:p w:rsidR="006D6A40" w:rsidRPr="007A27F0" w:rsidRDefault="006D6A40" w:rsidP="006D6A40">
      <w:pPr>
        <w:spacing w:after="0"/>
        <w:jc w:val="both"/>
        <w:rPr>
          <w:rFonts w:ascii="Times New Roman" w:hAnsi="Times New Roman" w:cs="Times New Roman"/>
          <w:b/>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7. ФІНАНСОВЕ ЗАБЕЗПЕЧЕННЯ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7.1. Участь здобувачів вищої освіти та наукових, науково-педагогічних, педагогічних та інших працівників у програмах академічної мобільності відбувається відповідно до фінансових умов програми </w:t>
      </w:r>
      <w:proofErr w:type="spellStart"/>
      <w:r w:rsidRPr="007A27F0">
        <w:rPr>
          <w:rFonts w:ascii="Times New Roman" w:hAnsi="Times New Roman" w:cs="Times New Roman"/>
          <w:sz w:val="24"/>
          <w:szCs w:val="24"/>
        </w:rPr>
        <w:t>Еразмус+академічна</w:t>
      </w:r>
      <w:proofErr w:type="spellEnd"/>
      <w:r w:rsidRPr="007A27F0">
        <w:rPr>
          <w:rFonts w:ascii="Times New Roman" w:hAnsi="Times New Roman" w:cs="Times New Roman"/>
          <w:sz w:val="24"/>
          <w:szCs w:val="24"/>
        </w:rPr>
        <w:t xml:space="preserve"> мобільність або договорів із приймаючим ЗВО, які включають відповідні статті про витрати.</w:t>
      </w:r>
    </w:p>
    <w:p w:rsidR="00030295" w:rsidRPr="007A27F0" w:rsidRDefault="00030295" w:rsidP="006D6A40">
      <w:pPr>
        <w:spacing w:after="0"/>
        <w:jc w:val="both"/>
        <w:rPr>
          <w:rFonts w:ascii="Times New Roman" w:hAnsi="Times New Roman" w:cs="Times New Roman"/>
          <w:sz w:val="24"/>
          <w:szCs w:val="24"/>
        </w:rPr>
      </w:pPr>
    </w:p>
    <w:p w:rsidR="00265393" w:rsidRPr="007A27F0" w:rsidRDefault="00030295"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7.2. </w:t>
      </w:r>
      <w:r w:rsidR="00265393" w:rsidRPr="007A27F0">
        <w:rPr>
          <w:rFonts w:ascii="Times New Roman" w:hAnsi="Times New Roman" w:cs="Times New Roman"/>
          <w:sz w:val="24"/>
          <w:szCs w:val="24"/>
        </w:rPr>
        <w:t xml:space="preserve">Виплата стипендії </w:t>
      </w:r>
      <w:r w:rsidRPr="007A27F0">
        <w:rPr>
          <w:rFonts w:ascii="Times New Roman" w:hAnsi="Times New Roman" w:cs="Times New Roman"/>
          <w:sz w:val="24"/>
          <w:szCs w:val="24"/>
        </w:rPr>
        <w:t>учасникам</w:t>
      </w:r>
      <w:r w:rsidR="00265393" w:rsidRPr="007A27F0">
        <w:rPr>
          <w:rFonts w:ascii="Times New Roman" w:hAnsi="Times New Roman" w:cs="Times New Roman"/>
          <w:sz w:val="24"/>
          <w:szCs w:val="24"/>
        </w:rPr>
        <w:t xml:space="preserve"> приймаючим ЗВО </w:t>
      </w:r>
    </w:p>
    <w:p w:rsidR="00030295"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Стипендія </w:t>
      </w:r>
      <w:r w:rsidR="00030295" w:rsidRPr="007A27F0">
        <w:rPr>
          <w:rFonts w:ascii="Times New Roman" w:hAnsi="Times New Roman" w:cs="Times New Roman"/>
          <w:sz w:val="24"/>
          <w:szCs w:val="24"/>
        </w:rPr>
        <w:t xml:space="preserve"> яка</w:t>
      </w:r>
      <w:r w:rsidRPr="007A27F0">
        <w:rPr>
          <w:rFonts w:ascii="Times New Roman" w:hAnsi="Times New Roman" w:cs="Times New Roman"/>
          <w:sz w:val="24"/>
          <w:szCs w:val="24"/>
        </w:rPr>
        <w:t xml:space="preserve"> надається </w:t>
      </w:r>
      <w:r w:rsidR="00030295" w:rsidRPr="007A27F0">
        <w:rPr>
          <w:rFonts w:ascii="Times New Roman" w:hAnsi="Times New Roman" w:cs="Times New Roman"/>
          <w:sz w:val="24"/>
          <w:szCs w:val="24"/>
        </w:rPr>
        <w:t>учасникам</w:t>
      </w:r>
      <w:r w:rsidRPr="007A27F0">
        <w:rPr>
          <w:rFonts w:ascii="Times New Roman" w:hAnsi="Times New Roman" w:cs="Times New Roman"/>
          <w:sz w:val="24"/>
          <w:szCs w:val="24"/>
        </w:rPr>
        <w:t xml:space="preserve"> мобільності – це одноразово</w:t>
      </w:r>
      <w:r w:rsidR="00030295" w:rsidRPr="007A27F0">
        <w:rPr>
          <w:rFonts w:ascii="Times New Roman" w:hAnsi="Times New Roman" w:cs="Times New Roman"/>
          <w:sz w:val="24"/>
          <w:szCs w:val="24"/>
        </w:rPr>
        <w:t xml:space="preserve"> </w:t>
      </w:r>
      <w:r w:rsidRPr="007A27F0">
        <w:rPr>
          <w:rFonts w:ascii="Times New Roman" w:hAnsi="Times New Roman" w:cs="Times New Roman"/>
          <w:sz w:val="24"/>
          <w:szCs w:val="24"/>
        </w:rPr>
        <w:t>виплачуван</w:t>
      </w:r>
      <w:r w:rsidR="00030295" w:rsidRPr="007A27F0">
        <w:rPr>
          <w:rFonts w:ascii="Times New Roman" w:hAnsi="Times New Roman" w:cs="Times New Roman"/>
          <w:sz w:val="24"/>
          <w:szCs w:val="24"/>
        </w:rPr>
        <w:t>а</w:t>
      </w:r>
      <w:r w:rsidRPr="007A27F0">
        <w:rPr>
          <w:rFonts w:ascii="Times New Roman" w:hAnsi="Times New Roman" w:cs="Times New Roman"/>
          <w:sz w:val="24"/>
          <w:szCs w:val="24"/>
        </w:rPr>
        <w:t xml:space="preserve"> сума, яка обчислюється за місячною ставкою для покриття витрат протягом запланованого періоду впровадження мобільності за програмою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w:t>
      </w:r>
      <w:r w:rsidR="00030295" w:rsidRPr="007A27F0">
        <w:rPr>
          <w:rFonts w:ascii="Times New Roman" w:hAnsi="Times New Roman" w:cs="Times New Roman"/>
          <w:sz w:val="24"/>
          <w:szCs w:val="24"/>
        </w:rPr>
        <w:t xml:space="preserve"> в приймаючому ЗВО</w:t>
      </w:r>
      <w:r w:rsidRPr="007A27F0">
        <w:rPr>
          <w:rFonts w:ascii="Times New Roman" w:hAnsi="Times New Roman" w:cs="Times New Roman"/>
          <w:sz w:val="24"/>
          <w:szCs w:val="24"/>
        </w:rPr>
        <w:t xml:space="preserve">. Стипендія визначається на початку кожної угоди з </w:t>
      </w:r>
      <w:proofErr w:type="spellStart"/>
      <w:r w:rsidRPr="007A27F0">
        <w:rPr>
          <w:rFonts w:ascii="Times New Roman" w:hAnsi="Times New Roman" w:cs="Times New Roman"/>
          <w:sz w:val="24"/>
          <w:szCs w:val="24"/>
        </w:rPr>
        <w:t>бенефіціаром</w:t>
      </w:r>
      <w:proofErr w:type="spellEnd"/>
      <w:r w:rsidRPr="007A27F0">
        <w:rPr>
          <w:rFonts w:ascii="Times New Roman" w:hAnsi="Times New Roman" w:cs="Times New Roman"/>
          <w:sz w:val="24"/>
          <w:szCs w:val="24"/>
        </w:rPr>
        <w:t xml:space="preserve"> та є незмінною</w:t>
      </w:r>
      <w:r w:rsidR="009A39A9" w:rsidRPr="007A27F0">
        <w:rPr>
          <w:rFonts w:ascii="Times New Roman" w:hAnsi="Times New Roman" w:cs="Times New Roman"/>
          <w:sz w:val="24"/>
          <w:szCs w:val="24"/>
        </w:rPr>
        <w:t xml:space="preserve"> </w:t>
      </w:r>
      <w:r w:rsidRPr="007A27F0">
        <w:rPr>
          <w:rFonts w:ascii="Times New Roman" w:hAnsi="Times New Roman" w:cs="Times New Roman"/>
          <w:sz w:val="24"/>
          <w:szCs w:val="24"/>
        </w:rPr>
        <w:t>навіть після надання проміжного звіту. Усім студентам здійснюються виплати у відповідних</w:t>
      </w:r>
      <w:r w:rsidR="009A39A9" w:rsidRPr="007A27F0">
        <w:rPr>
          <w:rFonts w:ascii="Times New Roman" w:hAnsi="Times New Roman" w:cs="Times New Roman"/>
          <w:sz w:val="24"/>
          <w:szCs w:val="24"/>
        </w:rPr>
        <w:t xml:space="preserve"> </w:t>
      </w:r>
      <w:r w:rsidRPr="007A27F0">
        <w:rPr>
          <w:rFonts w:ascii="Times New Roman" w:hAnsi="Times New Roman" w:cs="Times New Roman"/>
          <w:sz w:val="24"/>
          <w:szCs w:val="24"/>
        </w:rPr>
        <w:t xml:space="preserve">розмірах. </w:t>
      </w:r>
    </w:p>
    <w:p w:rsidR="009A39A9" w:rsidRPr="007A27F0" w:rsidRDefault="009A39A9" w:rsidP="00265393">
      <w:pPr>
        <w:spacing w:after="0"/>
        <w:jc w:val="both"/>
        <w:rPr>
          <w:rFonts w:ascii="Times New Roman" w:hAnsi="Times New Roman" w:cs="Times New Roman"/>
          <w:sz w:val="24"/>
          <w:szCs w:val="24"/>
        </w:rPr>
      </w:pPr>
    </w:p>
    <w:p w:rsidR="00265393" w:rsidRPr="007A27F0" w:rsidRDefault="00030295"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7.3. </w:t>
      </w:r>
      <w:r w:rsidR="00265393" w:rsidRPr="007A27F0">
        <w:rPr>
          <w:rFonts w:ascii="Times New Roman" w:hAnsi="Times New Roman" w:cs="Times New Roman"/>
          <w:sz w:val="24"/>
          <w:szCs w:val="24"/>
        </w:rPr>
        <w:t>Призупинення впровадження</w:t>
      </w:r>
      <w:r w:rsidRPr="007A27F0">
        <w:rPr>
          <w:rFonts w:ascii="Times New Roman" w:hAnsi="Times New Roman" w:cs="Times New Roman"/>
          <w:sz w:val="24"/>
          <w:szCs w:val="24"/>
        </w:rPr>
        <w:t xml:space="preserve">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w:t>
      </w:r>
      <w:r w:rsidR="00265393" w:rsidRPr="007A27F0">
        <w:rPr>
          <w:rFonts w:ascii="Times New Roman" w:hAnsi="Times New Roman" w:cs="Times New Roman"/>
          <w:sz w:val="24"/>
          <w:szCs w:val="24"/>
        </w:rPr>
        <w:t xml:space="preserve"> мобільності</w:t>
      </w:r>
    </w:p>
    <w:p w:rsidR="00265393"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У разі призупинення мобільності студента, зокрема через невідповідність дати завершення</w:t>
      </w:r>
    </w:p>
    <w:p w:rsidR="00265393"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курсу та початку фактичного періоду навчання, кількість днів призупинення відображається в</w:t>
      </w:r>
    </w:p>
    <w:p w:rsidR="00265393" w:rsidRPr="007A27F0" w:rsidRDefault="00265393" w:rsidP="00265393">
      <w:pPr>
        <w:spacing w:after="0"/>
        <w:jc w:val="both"/>
        <w:rPr>
          <w:rFonts w:ascii="Times New Roman" w:hAnsi="Times New Roman" w:cs="Times New Roman"/>
          <w:sz w:val="24"/>
          <w:szCs w:val="24"/>
        </w:rPr>
      </w:pPr>
      <w:r w:rsidRPr="007A27F0">
        <w:rPr>
          <w:rFonts w:ascii="Times New Roman" w:hAnsi="Times New Roman" w:cs="Times New Roman"/>
          <w:sz w:val="24"/>
          <w:szCs w:val="24"/>
        </w:rPr>
        <w:t>Інструм</w:t>
      </w:r>
      <w:r w:rsidR="00030295" w:rsidRPr="007A27F0">
        <w:rPr>
          <w:rFonts w:ascii="Times New Roman" w:hAnsi="Times New Roman" w:cs="Times New Roman"/>
          <w:sz w:val="24"/>
          <w:szCs w:val="24"/>
        </w:rPr>
        <w:t>енті мобільності+ та сума стипендії</w:t>
      </w:r>
      <w:r w:rsidRPr="007A27F0">
        <w:rPr>
          <w:rFonts w:ascii="Times New Roman" w:hAnsi="Times New Roman" w:cs="Times New Roman"/>
          <w:sz w:val="24"/>
          <w:szCs w:val="24"/>
        </w:rPr>
        <w:t xml:space="preserve"> коригується відповідним чином.</w:t>
      </w:r>
    </w:p>
    <w:p w:rsidR="00030295" w:rsidRPr="007A27F0" w:rsidRDefault="00030295" w:rsidP="00265393">
      <w:pPr>
        <w:spacing w:after="0"/>
        <w:jc w:val="both"/>
        <w:rPr>
          <w:rFonts w:ascii="Times New Roman" w:hAnsi="Times New Roman" w:cs="Times New Roman"/>
          <w:sz w:val="24"/>
          <w:szCs w:val="24"/>
        </w:rPr>
      </w:pPr>
    </w:p>
    <w:p w:rsidR="00030295" w:rsidRPr="007A27F0" w:rsidRDefault="00030295" w:rsidP="00030295">
      <w:pPr>
        <w:spacing w:after="0"/>
        <w:jc w:val="both"/>
        <w:rPr>
          <w:rFonts w:ascii="Times New Roman" w:hAnsi="Times New Roman" w:cs="Times New Roman"/>
          <w:sz w:val="24"/>
          <w:szCs w:val="24"/>
        </w:rPr>
      </w:pPr>
      <w:r w:rsidRPr="007A27F0">
        <w:rPr>
          <w:rFonts w:ascii="Times New Roman" w:hAnsi="Times New Roman" w:cs="Times New Roman"/>
          <w:sz w:val="24"/>
          <w:szCs w:val="24"/>
        </w:rPr>
        <w:t>7.4. Дострокове припинення заходу мобільності</w:t>
      </w:r>
    </w:p>
    <w:p w:rsidR="00030295" w:rsidRPr="007A27F0" w:rsidRDefault="00030295" w:rsidP="00030295">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Національне агентство  (Національний </w:t>
      </w:r>
      <w:proofErr w:type="spellStart"/>
      <w:r w:rsidRPr="007A27F0">
        <w:rPr>
          <w:rFonts w:ascii="Times New Roman" w:hAnsi="Times New Roman" w:cs="Times New Roman"/>
          <w:sz w:val="24"/>
          <w:szCs w:val="24"/>
        </w:rPr>
        <w:t>Еразмус+Офіс</w:t>
      </w:r>
      <w:proofErr w:type="spellEnd"/>
      <w:r w:rsidRPr="007A27F0">
        <w:rPr>
          <w:rFonts w:ascii="Times New Roman" w:hAnsi="Times New Roman" w:cs="Times New Roman"/>
          <w:sz w:val="24"/>
          <w:szCs w:val="24"/>
        </w:rPr>
        <w:t xml:space="preserve"> в Україні) може встановлювати правила повернення гранту після дострокового припинення заходу мобільності. Національне агентство також може вирішувати, в яких випадках повернення студентів здійснюється через форс-мажорних обставин. Залежно від правил повернення, встановлених Національним агентством, учаснику мобільності може бути висунуто вимогу щодо повернення стипендії або її частини. Якщо, на думку Національного агентства, підставою для дострокового повернення студента не є форс-мажор, стипендія має бути повернена.</w:t>
      </w:r>
    </w:p>
    <w:p w:rsidR="00030295" w:rsidRPr="007A27F0" w:rsidRDefault="00030295" w:rsidP="00030295">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7.</w:t>
      </w:r>
      <w:r w:rsidR="00030295" w:rsidRPr="007A27F0">
        <w:rPr>
          <w:rFonts w:ascii="Times New Roman" w:hAnsi="Times New Roman" w:cs="Times New Roman"/>
          <w:sz w:val="24"/>
          <w:szCs w:val="24"/>
        </w:rPr>
        <w:t>5</w:t>
      </w:r>
      <w:r w:rsidRPr="007A27F0">
        <w:rPr>
          <w:rFonts w:ascii="Times New Roman" w:hAnsi="Times New Roman" w:cs="Times New Roman"/>
          <w:sz w:val="24"/>
          <w:szCs w:val="24"/>
        </w:rPr>
        <w:t>. Фінансування програм академічної мобільності може також здійснюватися за рахунок:</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грантів національних і міжнародних організацій та приватних фондів;</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коштів сторони, що приймає;</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особистих коштів суб'єктів академічної мобільності;</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інших джерел, не заборонених законодавством.</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 xml:space="preserve">8. ПРИЗНАЧЕННЯ ТА ВИПЛАТА СТИПЕНДІЙ </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8.1. Здобувачі вищої освіти, які беруть участь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 мобільності, одночасно зберігають статус здобувача вищої освіти (наукового ступеня) на підставі державного (регіонального) замовлення за денною формою здобуття освіти в Університеті, протягом терміну участі у програмі академічної мобільності в приймаючому  ЗВО на території України чи поза її межами зберігають право на отримання академічної, іменної  та/або соціальної стипендії.</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8.2. Виплата академічної та/або соціальної стипендії здобувачам вищої освіти в</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Університеті, які беруть участь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 мобільності і одночасно зберігають статус здобувача вищої освіти, який здобуває освіту на підставі державного (регіонального) замовлення за денною формою, здійснюється в розмірі, що призначений стипендіату за результатами останнього семестрового контролю, у разі, коли терміни участі у програмі академічної мобільності в приймаючому ЗВО: не перевищує одного семестру – протягом цього терміну; перевищує один семестр – протягом першого семестру навчання в приймаючому ЗВО.</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8.3. Після повернення учасника мобільності до Університету питання щодо подальшого призначення академічної та/або соціальної стипендії вирішується стипендіальною комісією за таких умов:</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 xml:space="preserve">визнання результатів, отриманих під час участі у програмі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академічної мобільності в приймаючому ЗВО  відповідно до договору академічної мобільності, не призвело до збільшення терміну навчання здобувача вищої освіти за відповідним освітнім, освітньо-професійним ступенем (освітньо-кваліфікаційним рівнем) та спеціальністю/освітньою програмою порівняно з нормативним;</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w:t>
      </w:r>
      <w:r w:rsidRPr="007A27F0">
        <w:rPr>
          <w:rFonts w:ascii="Times New Roman" w:hAnsi="Times New Roman" w:cs="Times New Roman"/>
          <w:sz w:val="24"/>
          <w:szCs w:val="24"/>
        </w:rPr>
        <w:tab/>
        <w:t>у разі наявності за результатами участі у програмі академічної мобільності у здобувача вищої освіти академічної заборгованості така заборгованість повинна бути ліквідована у встановленому законодавством порядку до початку першого після повернення учасника мобільності семестрового контролю згідно з навчальним планом за відповідним курсом та освітньою програмою.</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8.4. У разі, коли термін навчання  в іншому приймаючому ЗВО перевищив один семестр і такий здобувач вищої освіти ліквідував академічну заборгованість, а також у разі позитивного рішення стипендіальної комісії, такому здобувачеві виплачується академічна та/або соціальна стипендія, що не виплачена за весь термін участі у програмі академічної мобільності в іншому приймаючому ЗВО на території України чи за її межами, у повному обсязі. У такому разі здобувач вищої освіти не включається до стипендіального рейтингу на відповідний семестр.</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8.5. Виплата академічної та/або соціальної стипендії здійснюється з урахуванням змін її розмірів, що відбулися відповідно до законодавства упродовж терміну участі у програмі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8.6. Питання щодо виплати академічної стипендії здобувачам освіти (наукового ступеня) денної форми вирішується стипендіальною комісією після повернення учасника мобільності до Університету на підставі рішення відповідної кафедри/ відповідного підрозділу Університету за результатами розгляду письмового звіту здобувача освіти (наукового ступеня) відповідно до укладеної ним з Університетом договору академічної мобільності. </w:t>
      </w:r>
    </w:p>
    <w:p w:rsidR="006D6A40" w:rsidRPr="007A27F0" w:rsidRDefault="006D6A40" w:rsidP="006D6A40">
      <w:pPr>
        <w:spacing w:after="0"/>
        <w:jc w:val="both"/>
        <w:rPr>
          <w:rFonts w:ascii="Times New Roman" w:hAnsi="Times New Roman" w:cs="Times New Roman"/>
          <w:sz w:val="24"/>
          <w:szCs w:val="24"/>
        </w:rPr>
      </w:pPr>
      <w:proofErr w:type="spellStart"/>
      <w:r w:rsidRPr="007A27F0">
        <w:rPr>
          <w:rFonts w:ascii="Times New Roman" w:hAnsi="Times New Roman" w:cs="Times New Roman"/>
          <w:sz w:val="24"/>
          <w:szCs w:val="24"/>
        </w:rPr>
        <w:t>Обовʼязковою</w:t>
      </w:r>
      <w:proofErr w:type="spellEnd"/>
      <w:r w:rsidRPr="007A27F0">
        <w:rPr>
          <w:rFonts w:ascii="Times New Roman" w:hAnsi="Times New Roman" w:cs="Times New Roman"/>
          <w:sz w:val="24"/>
          <w:szCs w:val="24"/>
        </w:rPr>
        <w:t xml:space="preserve"> умовою для прийняття стипендіальною комісією позитивного рішення про виплату академічної стипендії є вимога, що визнання результатів, отриманих під час участі у програмі академічної мобільності в  приймаючому ЗВО, не призвело до збільшення терміну навчання особи в аспірантурі, порівняно з нормативним. У разі прийняття зазначеного рішення стипендіальною комісією аспіранту виплачується академічна стипендія, що не виплачена за весь термін участі у програмі академічної мобільності в  приймаючому ЗВО на території України чи за ї межами , у повному обсязі з урахуванням змін розмірів академічної стипендії, що відбулися відповідно до законодавства протягом терміну участі у програмі академічної мобільності.</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b/>
          <w:sz w:val="24"/>
          <w:szCs w:val="24"/>
        </w:rPr>
      </w:pPr>
      <w:r w:rsidRPr="007A27F0">
        <w:rPr>
          <w:rFonts w:ascii="Times New Roman" w:hAnsi="Times New Roman" w:cs="Times New Roman"/>
          <w:b/>
          <w:sz w:val="24"/>
          <w:szCs w:val="24"/>
        </w:rPr>
        <w:t>9. ПРИКІНЦЕВІ ПОЛОЖЕННЯ:</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9.1. Зміни та доповнення до Положення розглядаються на засіданні Ради з якості освіти, затверджуються рішенням Вченої ради Університету та вводяться в дію наказом.</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9.2. Контроль за виконанням норм Положення здійснюють посадові особи МДУ в межах своїх повноважень, що встановлені посадовими інструкціями.</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9.3. З моменту затвердження нової редакції Положення попереднє Положення вважається таким, що втратив чинність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________________________________________</w:t>
      </w:r>
    </w:p>
    <w:p w:rsidR="006D6A40" w:rsidRPr="007A27F0" w:rsidRDefault="006D6A40" w:rsidP="006D6A40">
      <w:pPr>
        <w:spacing w:after="0"/>
        <w:jc w:val="both"/>
        <w:rPr>
          <w:rFonts w:ascii="Times New Roman" w:hAnsi="Times New Roman" w:cs="Times New Roman"/>
          <w:sz w:val="24"/>
          <w:szCs w:val="24"/>
        </w:rPr>
      </w:pP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lastRenderedPageBreak/>
        <w:t xml:space="preserve">Додаток 1 – ЗРАЗОК Заяви на навчання/стажування/викладання за програмою академічної мобільності в рамках програми </w:t>
      </w:r>
      <w:proofErr w:type="spellStart"/>
      <w:r w:rsidRPr="007A27F0">
        <w:rPr>
          <w:rFonts w:ascii="Times New Roman" w:hAnsi="Times New Roman" w:cs="Times New Roman"/>
          <w:sz w:val="24"/>
          <w:szCs w:val="24"/>
        </w:rPr>
        <w:t>Еразмус</w:t>
      </w:r>
      <w:proofErr w:type="spellEnd"/>
      <w:r w:rsidRPr="007A27F0">
        <w:rPr>
          <w:rFonts w:ascii="Times New Roman" w:hAnsi="Times New Roman" w:cs="Times New Roman"/>
          <w:sz w:val="24"/>
          <w:szCs w:val="24"/>
        </w:rPr>
        <w:t xml:space="preserve">+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Додаток 2 – ЗРАЗОК Заяви про відтермінування академічної сесії після завершення академічної мобільності; </w:t>
      </w:r>
    </w:p>
    <w:p w:rsidR="006D6A40" w:rsidRPr="007A27F0" w:rsidRDefault="006D6A40" w:rsidP="006D6A40">
      <w:pPr>
        <w:spacing w:after="0"/>
        <w:jc w:val="both"/>
        <w:rPr>
          <w:rFonts w:ascii="Times New Roman" w:hAnsi="Times New Roman" w:cs="Times New Roman"/>
          <w:sz w:val="24"/>
          <w:szCs w:val="24"/>
        </w:rPr>
      </w:pPr>
      <w:r w:rsidRPr="007A27F0">
        <w:rPr>
          <w:rFonts w:ascii="Times New Roman" w:hAnsi="Times New Roman" w:cs="Times New Roman"/>
          <w:sz w:val="24"/>
          <w:szCs w:val="24"/>
        </w:rPr>
        <w:t xml:space="preserve">Додаток 3 - ЗРАЗОК Індивідуального навчального плану здобувача вищої освіти. </w:t>
      </w:r>
    </w:p>
    <w:p w:rsidR="006D6A40" w:rsidRPr="007A27F0" w:rsidRDefault="006D6A40" w:rsidP="006D6A40">
      <w:pPr>
        <w:spacing w:after="0"/>
        <w:jc w:val="both"/>
        <w:rPr>
          <w:rFonts w:ascii="Times New Roman" w:hAnsi="Times New Roman" w:cs="Times New Roman"/>
          <w:sz w:val="24"/>
          <w:szCs w:val="24"/>
        </w:rPr>
      </w:pPr>
    </w:p>
    <w:p w:rsidR="007A197D" w:rsidRDefault="007A197D" w:rsidP="006D6A40">
      <w:pPr>
        <w:spacing w:after="0"/>
        <w:jc w:val="both"/>
        <w:rPr>
          <w:rFonts w:ascii="Times New Roman" w:hAnsi="Times New Roman" w:cs="Times New Roman"/>
          <w:sz w:val="24"/>
          <w:szCs w:val="24"/>
        </w:rPr>
      </w:pPr>
    </w:p>
    <w:p w:rsidR="00426402" w:rsidRDefault="00426402">
      <w:pPr>
        <w:rPr>
          <w:rFonts w:ascii="Times New Roman" w:hAnsi="Times New Roman" w:cs="Times New Roman"/>
          <w:sz w:val="24"/>
          <w:szCs w:val="24"/>
        </w:rPr>
      </w:pPr>
      <w:r>
        <w:rPr>
          <w:rFonts w:ascii="Times New Roman" w:hAnsi="Times New Roman" w:cs="Times New Roman"/>
          <w:sz w:val="24"/>
          <w:szCs w:val="24"/>
        </w:rPr>
        <w:br w:type="page"/>
      </w:r>
    </w:p>
    <w:p w:rsidR="00426402" w:rsidRDefault="00426402" w:rsidP="006D6A40">
      <w:pPr>
        <w:spacing w:after="0"/>
        <w:jc w:val="both"/>
        <w:rPr>
          <w:rFonts w:ascii="Times New Roman" w:hAnsi="Times New Roman" w:cs="Times New Roman"/>
          <w:sz w:val="24"/>
          <w:szCs w:val="24"/>
        </w:rPr>
      </w:pPr>
      <w:bookmarkStart w:id="0" w:name="_GoBack"/>
      <w:bookmarkEnd w:id="0"/>
    </w:p>
    <w:p w:rsidR="00426402" w:rsidRPr="00CC0B12" w:rsidRDefault="00426402" w:rsidP="00426402">
      <w:pPr>
        <w:jc w:val="right"/>
        <w:rPr>
          <w:rFonts w:eastAsia="Times New Roman"/>
          <w:i/>
        </w:rPr>
      </w:pPr>
      <w:r w:rsidRPr="00CC0B12">
        <w:rPr>
          <w:rFonts w:eastAsia="Times New Roman"/>
          <w:i/>
        </w:rPr>
        <w:t xml:space="preserve">Зразок індивідуального навчального плану учасника академічної мобільності </w:t>
      </w:r>
    </w:p>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jc w:val="center"/>
        <w:rPr>
          <w:rFonts w:eastAsia="Times New Roman"/>
        </w:rPr>
      </w:pPr>
      <w:r w:rsidRPr="00CC0B12">
        <w:rPr>
          <w:rFonts w:eastAsia="Times New Roman"/>
        </w:rPr>
        <w:t xml:space="preserve">МАРІУПОЛЬСЬКИЙ ДЕРЖАВНИЙ УНІВЕРСИТЕТ                                            </w:t>
      </w:r>
    </w:p>
    <w:p w:rsidR="00426402" w:rsidRPr="00CC0B12" w:rsidRDefault="00426402" w:rsidP="00426402">
      <w:pPr>
        <w:jc w:val="right"/>
        <w:rPr>
          <w:rFonts w:eastAsia="Times New Roman"/>
        </w:rPr>
      </w:pPr>
      <w:r w:rsidRPr="00CC0B12">
        <w:rPr>
          <w:rFonts w:eastAsia="Times New Roman"/>
        </w:rPr>
        <w:t xml:space="preserve">                                                                                                                                                                                         </w:t>
      </w:r>
      <w:r w:rsidRPr="00CC0B12">
        <w:rPr>
          <w:rFonts w:eastAsia="Times New Roman"/>
        </w:rPr>
        <w:tab/>
        <w:t xml:space="preserve">«ЗАТВЕРДЖУЮ»                                                                                                                                                                                         </w:t>
      </w:r>
      <w:r w:rsidRPr="00CC0B12">
        <w:rPr>
          <w:rFonts w:eastAsia="Times New Roman"/>
        </w:rPr>
        <w:tab/>
        <w:t xml:space="preserve">Декан факультету                                                                                                                                                                                         </w:t>
      </w:r>
      <w:r w:rsidRPr="00CC0B12">
        <w:rPr>
          <w:rFonts w:eastAsia="Times New Roman"/>
        </w:rPr>
        <w:tab/>
        <w:t xml:space="preserve">___________________                                                                                                                                                                                              </w:t>
      </w:r>
      <w:r w:rsidRPr="00CC0B12">
        <w:rPr>
          <w:rFonts w:eastAsia="Times New Roman"/>
        </w:rPr>
        <w:tab/>
        <w:t xml:space="preserve">(підпис та печатка)                                                                                                                                                                                                                                                                              </w:t>
      </w:r>
      <w:r w:rsidRPr="00CC0B12">
        <w:rPr>
          <w:rFonts w:eastAsia="Times New Roman"/>
        </w:rPr>
        <w:tab/>
        <w:t>«____»____________ _____ р.</w:t>
      </w:r>
    </w:p>
    <w:p w:rsidR="00426402" w:rsidRPr="00CC0B12" w:rsidRDefault="00426402" w:rsidP="00426402">
      <w:pPr>
        <w:jc w:val="right"/>
        <w:rPr>
          <w:rFonts w:eastAsia="Times New Roman"/>
        </w:rPr>
      </w:pPr>
    </w:p>
    <w:p w:rsidR="00426402" w:rsidRPr="00CC0B12" w:rsidRDefault="00426402" w:rsidP="00426402">
      <w:pPr>
        <w:pStyle w:val="2"/>
        <w:keepNext w:val="0"/>
        <w:keepLines w:val="0"/>
        <w:spacing w:before="0"/>
        <w:jc w:val="center"/>
        <w:rPr>
          <w:rFonts w:eastAsia="Times New Roman"/>
          <w:sz w:val="22"/>
          <w:szCs w:val="22"/>
        </w:rPr>
      </w:pPr>
      <w:bookmarkStart w:id="1" w:name="_rev09yrs2fhx" w:colFirst="0" w:colLast="0"/>
      <w:bookmarkEnd w:id="1"/>
      <w:r w:rsidRPr="00CC0B12">
        <w:rPr>
          <w:rFonts w:eastAsia="Times New Roman"/>
          <w:sz w:val="22"/>
          <w:szCs w:val="22"/>
        </w:rPr>
        <w:t xml:space="preserve"> </w:t>
      </w:r>
    </w:p>
    <w:p w:rsidR="00426402" w:rsidRPr="00CC0B12" w:rsidRDefault="00426402" w:rsidP="00426402">
      <w:pPr>
        <w:jc w:val="center"/>
        <w:rPr>
          <w:rFonts w:eastAsia="Times New Roman"/>
        </w:rPr>
      </w:pPr>
      <w:r w:rsidRPr="00CC0B12">
        <w:rPr>
          <w:rFonts w:eastAsia="Times New Roman"/>
        </w:rPr>
        <w:t xml:space="preserve">ІНДИВІДУАЛЬНИЙ НАВЧАЛЬНИЙ ПЛАН </w:t>
      </w:r>
    </w:p>
    <w:p w:rsidR="00426402" w:rsidRPr="00CC0B12" w:rsidRDefault="00426402" w:rsidP="00426402">
      <w:pPr>
        <w:jc w:val="center"/>
        <w:rPr>
          <w:rFonts w:eastAsia="Times New Roman"/>
        </w:rPr>
      </w:pPr>
      <w:r w:rsidRPr="00CC0B12">
        <w:rPr>
          <w:rFonts w:eastAsia="Times New Roman"/>
        </w:rPr>
        <w:t xml:space="preserve">учасника </w:t>
      </w:r>
      <w:proofErr w:type="spellStart"/>
      <w:r w:rsidRPr="00CC0B12">
        <w:rPr>
          <w:rFonts w:eastAsia="Times New Roman"/>
        </w:rPr>
        <w:t>Еразмус</w:t>
      </w:r>
      <w:proofErr w:type="spellEnd"/>
      <w:r w:rsidRPr="00CC0B12">
        <w:rPr>
          <w:rFonts w:eastAsia="Times New Roman"/>
        </w:rPr>
        <w:t xml:space="preserve">+ академічної мобільності </w:t>
      </w:r>
    </w:p>
    <w:p w:rsidR="00426402" w:rsidRPr="00CC0B12" w:rsidRDefault="00426402" w:rsidP="00426402">
      <w:pPr>
        <w:jc w:val="center"/>
        <w:rPr>
          <w:rFonts w:eastAsia="Times New Roman"/>
        </w:rPr>
      </w:pPr>
    </w:p>
    <w:p w:rsidR="00426402" w:rsidRPr="00CC0B12" w:rsidRDefault="00426402" w:rsidP="00426402">
      <w:pPr>
        <w:jc w:val="center"/>
        <w:rPr>
          <w:rFonts w:eastAsia="Times New Roman"/>
        </w:rPr>
      </w:pPr>
    </w:p>
    <w:p w:rsidR="00426402" w:rsidRPr="00CC0B12" w:rsidRDefault="00426402" w:rsidP="00426402">
      <w:pPr>
        <w:jc w:val="center"/>
        <w:rPr>
          <w:rFonts w:eastAsia="Times New Roman"/>
        </w:rPr>
      </w:pPr>
      <w:r w:rsidRPr="00CC0B12">
        <w:rPr>
          <w:rFonts w:eastAsia="Times New Roman"/>
        </w:rPr>
        <w:t>період з ______ до _______  20__/20__ навчального року</w:t>
      </w:r>
    </w:p>
    <w:p w:rsidR="00426402" w:rsidRPr="00CC0B12" w:rsidRDefault="00426402" w:rsidP="00426402">
      <w:pPr>
        <w:jc w:val="center"/>
        <w:rPr>
          <w:rFonts w:eastAsia="Times New Roman"/>
        </w:rPr>
      </w:pPr>
      <w:r w:rsidRPr="00CC0B12">
        <w:rPr>
          <w:rFonts w:eastAsia="Times New Roman"/>
        </w:rPr>
        <w:t xml:space="preserve"> </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3832"/>
        <w:gridCol w:w="5805"/>
      </w:tblGrid>
      <w:tr w:rsidR="00426402" w:rsidRPr="00CC0B12" w:rsidTr="00957134">
        <w:trPr>
          <w:trHeight w:val="360"/>
        </w:trPr>
        <w:tc>
          <w:tcPr>
            <w:tcW w:w="3832"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380"/>
              <w:rPr>
                <w:rFonts w:eastAsia="Times New Roman"/>
              </w:rPr>
            </w:pPr>
            <w:r w:rsidRPr="00CC0B12">
              <w:rPr>
                <w:rFonts w:eastAsia="Times New Roman"/>
              </w:rPr>
              <w:t xml:space="preserve">ПІБ студента  </w:t>
            </w:r>
          </w:p>
          <w:p w:rsidR="00426402" w:rsidRPr="00CC0B12" w:rsidRDefault="00426402" w:rsidP="00957134">
            <w:pPr>
              <w:spacing w:line="360" w:lineRule="auto"/>
              <w:ind w:left="380"/>
              <w:rPr>
                <w:rFonts w:eastAsia="Times New Roman"/>
              </w:rPr>
            </w:pPr>
            <w:r w:rsidRPr="00CC0B12">
              <w:rPr>
                <w:rFonts w:eastAsia="Times New Roman"/>
              </w:rPr>
              <w:t xml:space="preserve">                                                              </w:t>
            </w:r>
          </w:p>
        </w:tc>
        <w:tc>
          <w:tcPr>
            <w:tcW w:w="5805"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40"/>
              <w:rPr>
                <w:rFonts w:eastAsia="Times New Roman"/>
                <w:u w:val="single"/>
              </w:rPr>
            </w:pPr>
            <w:r w:rsidRPr="00CC0B12">
              <w:rPr>
                <w:rFonts w:eastAsia="Times New Roman"/>
                <w:u w:val="single"/>
              </w:rPr>
              <w:t>__________________________________________</w:t>
            </w:r>
          </w:p>
        </w:tc>
      </w:tr>
      <w:tr w:rsidR="00426402" w:rsidRPr="00CC0B12" w:rsidTr="00957134">
        <w:trPr>
          <w:trHeight w:val="360"/>
        </w:trPr>
        <w:tc>
          <w:tcPr>
            <w:tcW w:w="3832"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380"/>
              <w:rPr>
                <w:rFonts w:eastAsia="Times New Roman"/>
              </w:rPr>
            </w:pPr>
            <w:r w:rsidRPr="00CC0B12">
              <w:rPr>
                <w:rFonts w:eastAsia="Times New Roman"/>
              </w:rPr>
              <w:t xml:space="preserve">Назва факультету              </w:t>
            </w:r>
            <w:r w:rsidRPr="00CC0B12">
              <w:rPr>
                <w:rFonts w:eastAsia="Times New Roman"/>
              </w:rPr>
              <w:tab/>
              <w:t xml:space="preserve">                                      </w:t>
            </w:r>
          </w:p>
        </w:tc>
        <w:tc>
          <w:tcPr>
            <w:tcW w:w="5805"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40"/>
              <w:rPr>
                <w:rFonts w:eastAsia="Times New Roman"/>
                <w:u w:val="single"/>
              </w:rPr>
            </w:pPr>
            <w:r w:rsidRPr="00CC0B12">
              <w:rPr>
                <w:rFonts w:eastAsia="Times New Roman"/>
                <w:u w:val="single"/>
              </w:rPr>
              <w:t>__________________________________________</w:t>
            </w:r>
          </w:p>
        </w:tc>
      </w:tr>
      <w:tr w:rsidR="00426402" w:rsidRPr="00CC0B12" w:rsidTr="00957134">
        <w:trPr>
          <w:trHeight w:val="360"/>
        </w:trPr>
        <w:tc>
          <w:tcPr>
            <w:tcW w:w="3832"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380"/>
              <w:rPr>
                <w:rFonts w:eastAsia="Times New Roman"/>
              </w:rPr>
            </w:pPr>
          </w:p>
          <w:p w:rsidR="00426402" w:rsidRPr="00CC0B12" w:rsidRDefault="00426402" w:rsidP="00957134">
            <w:pPr>
              <w:spacing w:line="360" w:lineRule="auto"/>
              <w:ind w:left="380"/>
              <w:rPr>
                <w:rFonts w:eastAsia="Times New Roman"/>
              </w:rPr>
            </w:pPr>
            <w:r w:rsidRPr="00CC0B12">
              <w:rPr>
                <w:rFonts w:eastAsia="Times New Roman"/>
              </w:rPr>
              <w:t>Напрям підготовки/спеціальність, шифр групи</w:t>
            </w:r>
          </w:p>
        </w:tc>
        <w:tc>
          <w:tcPr>
            <w:tcW w:w="5805"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40"/>
              <w:rPr>
                <w:rFonts w:eastAsia="Times New Roman"/>
                <w:u w:val="single"/>
              </w:rPr>
            </w:pPr>
          </w:p>
          <w:p w:rsidR="00426402" w:rsidRPr="00CC0B12" w:rsidRDefault="00426402" w:rsidP="00957134">
            <w:pPr>
              <w:spacing w:line="360" w:lineRule="auto"/>
              <w:ind w:left="-40"/>
              <w:rPr>
                <w:rFonts w:eastAsia="Times New Roman"/>
                <w:u w:val="single"/>
              </w:rPr>
            </w:pPr>
            <w:r w:rsidRPr="00CC0B12">
              <w:rPr>
                <w:rFonts w:eastAsia="Times New Roman"/>
                <w:u w:val="single"/>
              </w:rPr>
              <w:t>__________________________________________________  (шифр та назва)</w:t>
            </w:r>
          </w:p>
          <w:p w:rsidR="00426402" w:rsidRPr="00CC0B12" w:rsidRDefault="00426402" w:rsidP="00957134">
            <w:pPr>
              <w:spacing w:line="360" w:lineRule="auto"/>
              <w:rPr>
                <w:rFonts w:eastAsia="Times New Roman"/>
                <w:u w:val="single"/>
              </w:rPr>
            </w:pPr>
          </w:p>
        </w:tc>
      </w:tr>
      <w:tr w:rsidR="00426402" w:rsidRPr="00CC0B12" w:rsidTr="00957134">
        <w:trPr>
          <w:trHeight w:val="720"/>
        </w:trPr>
        <w:tc>
          <w:tcPr>
            <w:tcW w:w="3832"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380"/>
              <w:rPr>
                <w:rFonts w:eastAsia="Times New Roman"/>
              </w:rPr>
            </w:pPr>
          </w:p>
          <w:p w:rsidR="00426402" w:rsidRDefault="00426402" w:rsidP="00957134">
            <w:pPr>
              <w:spacing w:line="360" w:lineRule="auto"/>
              <w:ind w:left="380"/>
              <w:rPr>
                <w:rFonts w:eastAsia="Times New Roman"/>
              </w:rPr>
            </w:pPr>
            <w:r w:rsidRPr="00CC0B12">
              <w:rPr>
                <w:rFonts w:eastAsia="Times New Roman"/>
              </w:rPr>
              <w:t xml:space="preserve">Назва приймаючого ЗВО    </w:t>
            </w:r>
          </w:p>
          <w:p w:rsidR="00426402" w:rsidRPr="00CC0B12" w:rsidRDefault="00426402" w:rsidP="00957134">
            <w:pPr>
              <w:spacing w:line="360" w:lineRule="auto"/>
              <w:ind w:left="380"/>
              <w:rPr>
                <w:rFonts w:eastAsia="Times New Roman"/>
              </w:rPr>
            </w:pPr>
            <w:r w:rsidRPr="00CC0B12">
              <w:rPr>
                <w:rFonts w:eastAsia="Times New Roman"/>
              </w:rPr>
              <w:t xml:space="preserve">       </w:t>
            </w:r>
          </w:p>
        </w:tc>
        <w:tc>
          <w:tcPr>
            <w:tcW w:w="5805" w:type="dxa"/>
            <w:tcBorders>
              <w:top w:val="nil"/>
              <w:left w:val="nil"/>
              <w:bottom w:val="nil"/>
              <w:right w:val="nil"/>
            </w:tcBorders>
            <w:tcMar>
              <w:top w:w="0" w:type="dxa"/>
              <w:left w:w="100" w:type="dxa"/>
              <w:bottom w:w="0" w:type="dxa"/>
              <w:right w:w="100" w:type="dxa"/>
            </w:tcMar>
          </w:tcPr>
          <w:p w:rsidR="00426402" w:rsidRPr="00CC0B12" w:rsidRDefault="00426402" w:rsidP="00957134">
            <w:pPr>
              <w:spacing w:line="360" w:lineRule="auto"/>
              <w:ind w:left="-40"/>
              <w:rPr>
                <w:rFonts w:eastAsia="Times New Roman"/>
                <w:u w:val="single"/>
              </w:rPr>
            </w:pPr>
          </w:p>
        </w:tc>
      </w:tr>
    </w:tbl>
    <w:p w:rsidR="00426402" w:rsidRPr="00CC0B12" w:rsidRDefault="00426402" w:rsidP="00426402">
      <w:pPr>
        <w:rPr>
          <w:rFonts w:eastAsia="Times New Roman"/>
        </w:rPr>
      </w:pPr>
      <w:r w:rsidRPr="00CC0B12">
        <w:rPr>
          <w:rFonts w:eastAsia="Times New Roman"/>
        </w:rPr>
        <w:t xml:space="preserve"> </w:t>
      </w:r>
    </w:p>
    <w:tbl>
      <w:tblPr>
        <w:tblW w:w="9637" w:type="dxa"/>
        <w:tblBorders>
          <w:top w:val="nil"/>
          <w:left w:val="nil"/>
          <w:bottom w:val="nil"/>
          <w:right w:val="nil"/>
          <w:insideH w:val="nil"/>
          <w:insideV w:val="nil"/>
        </w:tblBorders>
        <w:tblLayout w:type="fixed"/>
        <w:tblLook w:val="0600" w:firstRow="0" w:lastRow="0" w:firstColumn="0" w:lastColumn="0" w:noHBand="1" w:noVBand="1"/>
      </w:tblPr>
      <w:tblGrid>
        <w:gridCol w:w="478"/>
        <w:gridCol w:w="1796"/>
        <w:gridCol w:w="1278"/>
        <w:gridCol w:w="1796"/>
        <w:gridCol w:w="1684"/>
        <w:gridCol w:w="2605"/>
      </w:tblGrid>
      <w:tr w:rsidR="00426402" w:rsidRPr="00CC0B12" w:rsidTr="00957134">
        <w:trPr>
          <w:trHeight w:val="1373"/>
        </w:trPr>
        <w:tc>
          <w:tcPr>
            <w:tcW w:w="479" w:type="dxa"/>
            <w:tcBorders>
              <w:top w:val="single" w:sz="7" w:space="0" w:color="000000"/>
              <w:left w:val="single" w:sz="7" w:space="0" w:color="000000"/>
              <w:bottom w:val="single" w:sz="7" w:space="0" w:color="000000"/>
              <w:right w:val="single" w:sz="7" w:space="0" w:color="000000"/>
            </w:tcBorders>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w:t>
            </w:r>
          </w:p>
        </w:tc>
        <w:tc>
          <w:tcPr>
            <w:tcW w:w="179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 xml:space="preserve">Назва дисципліни </w:t>
            </w:r>
          </w:p>
        </w:tc>
        <w:tc>
          <w:tcPr>
            <w:tcW w:w="1278"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Кількість</w:t>
            </w:r>
          </w:p>
          <w:p w:rsidR="00426402" w:rsidRPr="00CC0B12" w:rsidRDefault="00426402" w:rsidP="00957134">
            <w:pPr>
              <w:jc w:val="center"/>
              <w:rPr>
                <w:rFonts w:eastAsia="Times New Roman"/>
              </w:rPr>
            </w:pPr>
            <w:r w:rsidRPr="00CC0B12">
              <w:rPr>
                <w:rFonts w:eastAsia="Times New Roman"/>
              </w:rPr>
              <w:t>кредитів</w:t>
            </w:r>
          </w:p>
          <w:p w:rsidR="00426402" w:rsidRPr="00CC0B12" w:rsidRDefault="00426402" w:rsidP="00957134">
            <w:pPr>
              <w:jc w:val="center"/>
              <w:rPr>
                <w:rFonts w:eastAsia="Times New Roman"/>
              </w:rPr>
            </w:pPr>
            <w:r w:rsidRPr="00CC0B12">
              <w:rPr>
                <w:rFonts w:eastAsia="Times New Roman"/>
              </w:rPr>
              <w:t>ЄКТС</w:t>
            </w:r>
          </w:p>
        </w:tc>
        <w:tc>
          <w:tcPr>
            <w:tcW w:w="1795"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Форма контролю</w:t>
            </w:r>
          </w:p>
        </w:tc>
        <w:tc>
          <w:tcPr>
            <w:tcW w:w="1683"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Дата</w:t>
            </w:r>
          </w:p>
          <w:p w:rsidR="00426402" w:rsidRPr="00CC0B12" w:rsidRDefault="00426402" w:rsidP="00957134">
            <w:pPr>
              <w:jc w:val="center"/>
              <w:rPr>
                <w:rFonts w:eastAsia="Times New Roman"/>
              </w:rPr>
            </w:pPr>
            <w:r w:rsidRPr="00CC0B12">
              <w:rPr>
                <w:rFonts w:eastAsia="Times New Roman"/>
              </w:rPr>
              <w:t xml:space="preserve">семестрового контролю </w:t>
            </w:r>
          </w:p>
        </w:tc>
        <w:tc>
          <w:tcPr>
            <w:tcW w:w="2604" w:type="dxa"/>
            <w:tcBorders>
              <w:top w:val="single" w:sz="7" w:space="0" w:color="000000"/>
              <w:left w:val="nil"/>
              <w:bottom w:val="single" w:sz="7" w:space="0" w:color="000000"/>
              <w:right w:val="single" w:sz="7" w:space="0" w:color="000000"/>
            </w:tcBorders>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Примітки</w:t>
            </w:r>
          </w:p>
        </w:tc>
      </w:tr>
      <w:tr w:rsidR="00426402" w:rsidRPr="00CC0B12" w:rsidTr="00957134">
        <w:trPr>
          <w:trHeight w:val="540"/>
        </w:trPr>
        <w:tc>
          <w:tcPr>
            <w:tcW w:w="9634" w:type="dxa"/>
            <w:gridSpan w:val="6"/>
            <w:tcBorders>
              <w:top w:val="nil"/>
              <w:left w:val="single" w:sz="7" w:space="0" w:color="000000"/>
              <w:bottom w:val="single" w:sz="7" w:space="0" w:color="000000"/>
              <w:right w:val="single" w:sz="7" w:space="0" w:color="000000"/>
            </w:tcBorders>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 xml:space="preserve">___________________________________________________________ </w:t>
            </w:r>
          </w:p>
          <w:p w:rsidR="00426402" w:rsidRPr="00CC0B12" w:rsidRDefault="00426402" w:rsidP="00957134">
            <w:pPr>
              <w:jc w:val="center"/>
              <w:rPr>
                <w:rFonts w:eastAsia="Times New Roman"/>
              </w:rPr>
            </w:pPr>
            <w:r w:rsidRPr="00CC0B12">
              <w:rPr>
                <w:rFonts w:eastAsia="Times New Roman"/>
                <w:i/>
              </w:rPr>
              <w:lastRenderedPageBreak/>
              <w:t>(вказати назву приймаючого ЗВО )</w:t>
            </w:r>
            <w:r w:rsidRPr="00CC0B12">
              <w:rPr>
                <w:rFonts w:eastAsia="Times New Roman"/>
              </w:rPr>
              <w:t xml:space="preserve"> </w:t>
            </w:r>
          </w:p>
        </w:tc>
      </w:tr>
      <w:tr w:rsidR="00426402" w:rsidRPr="00CC0B12" w:rsidTr="00957134">
        <w:trPr>
          <w:trHeight w:val="540"/>
        </w:trPr>
        <w:tc>
          <w:tcPr>
            <w:tcW w:w="4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lastRenderedPageBreak/>
              <w:t>1.</w:t>
            </w: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p w:rsidR="00426402" w:rsidRPr="00CC0B12" w:rsidRDefault="00426402" w:rsidP="00957134">
            <w:pPr>
              <w:jc w:val="center"/>
              <w:rPr>
                <w:rFonts w:eastAsia="Times New Roman"/>
                <w:i/>
              </w:rPr>
            </w:pPr>
            <w:r w:rsidRPr="00CC0B12">
              <w:rPr>
                <w:rFonts w:eastAsia="Times New Roman"/>
                <w:i/>
              </w:rPr>
              <w:t xml:space="preserve"> </w:t>
            </w:r>
          </w:p>
        </w:tc>
        <w:tc>
          <w:tcPr>
            <w:tcW w:w="127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c>
          <w:tcPr>
            <w:tcW w:w="168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 xml:space="preserve"> </w:t>
            </w:r>
          </w:p>
        </w:tc>
        <w:tc>
          <w:tcPr>
            <w:tcW w:w="260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r>
      <w:tr w:rsidR="00426402" w:rsidRPr="00CC0B12" w:rsidTr="00957134">
        <w:trPr>
          <w:trHeight w:val="540"/>
        </w:trPr>
        <w:tc>
          <w:tcPr>
            <w:tcW w:w="4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2.</w:t>
            </w: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c>
          <w:tcPr>
            <w:tcW w:w="127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c>
          <w:tcPr>
            <w:tcW w:w="168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 xml:space="preserve"> </w:t>
            </w:r>
          </w:p>
        </w:tc>
        <w:tc>
          <w:tcPr>
            <w:tcW w:w="260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i/>
              </w:rPr>
            </w:pPr>
          </w:p>
        </w:tc>
      </w:tr>
      <w:tr w:rsidR="00426402" w:rsidRPr="00CC0B12" w:rsidTr="00957134">
        <w:trPr>
          <w:trHeight w:val="540"/>
        </w:trPr>
        <w:tc>
          <w:tcPr>
            <w:tcW w:w="4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3.</w:t>
            </w: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c>
          <w:tcPr>
            <w:tcW w:w="127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c>
          <w:tcPr>
            <w:tcW w:w="168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 xml:space="preserve"> </w:t>
            </w:r>
          </w:p>
        </w:tc>
        <w:tc>
          <w:tcPr>
            <w:tcW w:w="260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r>
      <w:tr w:rsidR="00426402" w:rsidRPr="00CC0B12" w:rsidTr="00957134">
        <w:trPr>
          <w:trHeight w:val="270"/>
        </w:trPr>
        <w:tc>
          <w:tcPr>
            <w:tcW w:w="9634" w:type="dxa"/>
            <w:gridSpan w:val="6"/>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roofErr w:type="spellStart"/>
            <w:r w:rsidRPr="00CC0B12">
              <w:rPr>
                <w:rFonts w:eastAsia="Times New Roman"/>
                <w:i/>
              </w:rPr>
              <w:t>Маріупольский</w:t>
            </w:r>
            <w:proofErr w:type="spellEnd"/>
            <w:r w:rsidRPr="00CC0B12">
              <w:rPr>
                <w:rFonts w:eastAsia="Times New Roman"/>
                <w:i/>
              </w:rPr>
              <w:t xml:space="preserve"> державний університет </w:t>
            </w:r>
          </w:p>
        </w:tc>
      </w:tr>
      <w:tr w:rsidR="00426402" w:rsidRPr="00CC0B12" w:rsidTr="00957134">
        <w:trPr>
          <w:trHeight w:val="270"/>
        </w:trPr>
        <w:tc>
          <w:tcPr>
            <w:tcW w:w="4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1.</w:t>
            </w: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i/>
              </w:rPr>
            </w:pPr>
          </w:p>
        </w:tc>
        <w:tc>
          <w:tcPr>
            <w:tcW w:w="127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c>
          <w:tcPr>
            <w:tcW w:w="168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w:t>
            </w:r>
          </w:p>
        </w:tc>
        <w:tc>
          <w:tcPr>
            <w:tcW w:w="260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 xml:space="preserve"> </w:t>
            </w:r>
          </w:p>
        </w:tc>
      </w:tr>
      <w:tr w:rsidR="00426402" w:rsidRPr="00CC0B12" w:rsidTr="00957134">
        <w:trPr>
          <w:trHeight w:val="270"/>
        </w:trPr>
        <w:tc>
          <w:tcPr>
            <w:tcW w:w="479"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2.</w:t>
            </w: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i/>
              </w:rPr>
            </w:pPr>
          </w:p>
        </w:tc>
        <w:tc>
          <w:tcPr>
            <w:tcW w:w="1278"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p>
        </w:tc>
        <w:tc>
          <w:tcPr>
            <w:tcW w:w="179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p>
        </w:tc>
        <w:tc>
          <w:tcPr>
            <w:tcW w:w="1683"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w:t>
            </w:r>
          </w:p>
        </w:tc>
        <w:tc>
          <w:tcPr>
            <w:tcW w:w="2604"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i/>
              </w:rPr>
            </w:pPr>
            <w:r w:rsidRPr="00CC0B12">
              <w:rPr>
                <w:rFonts w:eastAsia="Times New Roman"/>
                <w:i/>
              </w:rPr>
              <w:t xml:space="preserve"> </w:t>
            </w:r>
          </w:p>
        </w:tc>
      </w:tr>
    </w:tbl>
    <w:p w:rsidR="00426402" w:rsidRPr="00CC0B12" w:rsidRDefault="00426402" w:rsidP="00426402">
      <w:pPr>
        <w:rPr>
          <w:rFonts w:eastAsia="Times New Roman"/>
        </w:rPr>
      </w:pPr>
      <w:r w:rsidRPr="00CC0B12">
        <w:rPr>
          <w:rFonts w:eastAsia="Times New Roman"/>
        </w:rPr>
        <w:t xml:space="preserve"> </w:t>
      </w:r>
    </w:p>
    <w:p w:rsidR="00426402" w:rsidRDefault="00426402" w:rsidP="00426402">
      <w:pPr>
        <w:jc w:val="center"/>
        <w:rPr>
          <w:rFonts w:eastAsia="Times New Roman"/>
        </w:rPr>
      </w:pPr>
    </w:p>
    <w:p w:rsidR="00426402" w:rsidRPr="00CC0B12" w:rsidRDefault="00426402" w:rsidP="00426402">
      <w:pPr>
        <w:jc w:val="center"/>
        <w:rPr>
          <w:rFonts w:eastAsia="Times New Roman"/>
        </w:rPr>
      </w:pPr>
      <w:r w:rsidRPr="00CC0B12">
        <w:rPr>
          <w:rFonts w:eastAsia="Times New Roman"/>
        </w:rPr>
        <w:t>ІІ. ПРАКТИКА</w:t>
      </w:r>
    </w:p>
    <w:p w:rsidR="00426402" w:rsidRPr="00CC0B12" w:rsidRDefault="00426402" w:rsidP="00426402">
      <w:pPr>
        <w:jc w:val="center"/>
        <w:rPr>
          <w:rFonts w:eastAsia="Times New Roman"/>
        </w:rPr>
      </w:pPr>
      <w:r w:rsidRPr="00CC0B12">
        <w:rPr>
          <w:rFonts w:eastAsia="Times New Roman"/>
        </w:rPr>
        <w:t xml:space="preserve"> </w:t>
      </w:r>
    </w:p>
    <w:tbl>
      <w:tblPr>
        <w:tblW w:w="9105" w:type="dxa"/>
        <w:tblBorders>
          <w:top w:val="nil"/>
          <w:left w:val="nil"/>
          <w:bottom w:val="nil"/>
          <w:right w:val="nil"/>
          <w:insideH w:val="nil"/>
          <w:insideV w:val="nil"/>
        </w:tblBorders>
        <w:tblLayout w:type="fixed"/>
        <w:tblLook w:val="0600" w:firstRow="0" w:lastRow="0" w:firstColumn="0" w:lastColumn="0" w:noHBand="1" w:noVBand="1"/>
      </w:tblPr>
      <w:tblGrid>
        <w:gridCol w:w="1515"/>
        <w:gridCol w:w="1515"/>
        <w:gridCol w:w="1785"/>
        <w:gridCol w:w="1485"/>
        <w:gridCol w:w="1290"/>
        <w:gridCol w:w="1515"/>
      </w:tblGrid>
      <w:tr w:rsidR="00426402" w:rsidRPr="00CC0B12" w:rsidTr="00957134">
        <w:trPr>
          <w:trHeight w:val="795"/>
        </w:trPr>
        <w:tc>
          <w:tcPr>
            <w:tcW w:w="1515" w:type="dxa"/>
            <w:tcBorders>
              <w:top w:val="single" w:sz="7" w:space="0" w:color="000000"/>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Вид практики</w:t>
            </w:r>
          </w:p>
        </w:tc>
        <w:tc>
          <w:tcPr>
            <w:tcW w:w="151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Кількість</w:t>
            </w:r>
          </w:p>
          <w:p w:rsidR="00426402" w:rsidRPr="00CC0B12" w:rsidRDefault="00426402" w:rsidP="00957134">
            <w:pPr>
              <w:jc w:val="center"/>
              <w:rPr>
                <w:rFonts w:eastAsia="Times New Roman"/>
              </w:rPr>
            </w:pPr>
            <w:r w:rsidRPr="00CC0B12">
              <w:rPr>
                <w:rFonts w:eastAsia="Times New Roman"/>
              </w:rPr>
              <w:t>кредитів</w:t>
            </w:r>
          </w:p>
          <w:p w:rsidR="00426402" w:rsidRPr="00CC0B12" w:rsidRDefault="00426402" w:rsidP="00957134">
            <w:pPr>
              <w:jc w:val="center"/>
              <w:rPr>
                <w:rFonts w:eastAsia="Times New Roman"/>
              </w:rPr>
            </w:pPr>
            <w:r w:rsidRPr="00CC0B12">
              <w:rPr>
                <w:rFonts w:eastAsia="Times New Roman"/>
              </w:rPr>
              <w:t>ЄКТС</w:t>
            </w:r>
          </w:p>
        </w:tc>
        <w:tc>
          <w:tcPr>
            <w:tcW w:w="178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Місце проходження</w:t>
            </w:r>
          </w:p>
        </w:tc>
        <w:tc>
          <w:tcPr>
            <w:tcW w:w="148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Керівник</w:t>
            </w:r>
          </w:p>
        </w:tc>
        <w:tc>
          <w:tcPr>
            <w:tcW w:w="1290"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Термін</w:t>
            </w:r>
          </w:p>
        </w:tc>
        <w:tc>
          <w:tcPr>
            <w:tcW w:w="1515" w:type="dxa"/>
            <w:tcBorders>
              <w:top w:val="single" w:sz="7" w:space="0" w:color="000000"/>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jc w:val="center"/>
              <w:rPr>
                <w:rFonts w:eastAsia="Times New Roman"/>
              </w:rPr>
            </w:pPr>
            <w:r w:rsidRPr="00CC0B12">
              <w:rPr>
                <w:rFonts w:eastAsia="Times New Roman"/>
              </w:rPr>
              <w:t>Примітка</w:t>
            </w:r>
          </w:p>
        </w:tc>
      </w:tr>
      <w:tr w:rsidR="00426402" w:rsidRPr="00CC0B12" w:rsidTr="00957134">
        <w:trPr>
          <w:trHeight w:val="270"/>
        </w:trPr>
        <w:tc>
          <w:tcPr>
            <w:tcW w:w="1515" w:type="dxa"/>
            <w:tcBorders>
              <w:top w:val="nil"/>
              <w:left w:val="single" w:sz="7" w:space="0" w:color="000000"/>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rPr>
            </w:pPr>
            <w:r w:rsidRPr="00CC0B12">
              <w:rPr>
                <w:rFonts w:eastAsia="Times New Roman"/>
              </w:rPr>
              <w:t xml:space="preserve"> </w:t>
            </w:r>
          </w:p>
        </w:tc>
        <w:tc>
          <w:tcPr>
            <w:tcW w:w="15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rPr>
            </w:pPr>
            <w:r w:rsidRPr="00CC0B12">
              <w:rPr>
                <w:rFonts w:eastAsia="Times New Roman"/>
              </w:rPr>
              <w:t xml:space="preserve"> </w:t>
            </w:r>
          </w:p>
        </w:tc>
        <w:tc>
          <w:tcPr>
            <w:tcW w:w="17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rPr>
            </w:pPr>
            <w:r w:rsidRPr="00CC0B12">
              <w:rPr>
                <w:rFonts w:eastAsia="Times New Roman"/>
              </w:rPr>
              <w:t xml:space="preserve"> </w:t>
            </w:r>
          </w:p>
        </w:tc>
        <w:tc>
          <w:tcPr>
            <w:tcW w:w="148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rPr>
            </w:pPr>
            <w:r w:rsidRPr="00CC0B12">
              <w:rPr>
                <w:rFonts w:eastAsia="Times New Roman"/>
              </w:rPr>
              <w:t xml:space="preserve"> </w:t>
            </w:r>
          </w:p>
        </w:tc>
        <w:tc>
          <w:tcPr>
            <w:tcW w:w="1290"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rPr>
            </w:pPr>
            <w:r w:rsidRPr="00CC0B12">
              <w:rPr>
                <w:rFonts w:eastAsia="Times New Roman"/>
              </w:rPr>
              <w:t xml:space="preserve"> </w:t>
            </w:r>
          </w:p>
        </w:tc>
        <w:tc>
          <w:tcPr>
            <w:tcW w:w="1515" w:type="dxa"/>
            <w:tcBorders>
              <w:top w:val="nil"/>
              <w:left w:val="nil"/>
              <w:bottom w:val="single" w:sz="7" w:space="0" w:color="000000"/>
              <w:right w:val="single" w:sz="7" w:space="0" w:color="000000"/>
            </w:tcBorders>
            <w:shd w:val="clear" w:color="auto" w:fill="auto"/>
            <w:tcMar>
              <w:top w:w="0" w:type="dxa"/>
              <w:left w:w="100" w:type="dxa"/>
              <w:bottom w:w="0" w:type="dxa"/>
              <w:right w:w="100" w:type="dxa"/>
            </w:tcMar>
          </w:tcPr>
          <w:p w:rsidR="00426402" w:rsidRPr="00CC0B12" w:rsidRDefault="00426402" w:rsidP="00957134">
            <w:pPr>
              <w:rPr>
                <w:rFonts w:eastAsia="Times New Roman"/>
              </w:rPr>
            </w:pPr>
            <w:r w:rsidRPr="00CC0B12">
              <w:rPr>
                <w:rFonts w:eastAsia="Times New Roman"/>
              </w:rPr>
              <w:t xml:space="preserve"> </w:t>
            </w:r>
          </w:p>
        </w:tc>
      </w:tr>
    </w:tbl>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ind w:firstLine="700"/>
        <w:rPr>
          <w:rFonts w:eastAsia="Times New Roman"/>
        </w:rPr>
      </w:pPr>
      <w:r w:rsidRPr="00CC0B12">
        <w:rPr>
          <w:rFonts w:eastAsia="Times New Roman"/>
        </w:rPr>
        <w:t xml:space="preserve">Завідувач кафедри                                                           </w:t>
      </w:r>
      <w:r w:rsidRPr="00CC0B12">
        <w:rPr>
          <w:rFonts w:eastAsia="Times New Roman"/>
        </w:rPr>
        <w:tab/>
        <w:t xml:space="preserve">                                                        </w:t>
      </w:r>
      <w:r w:rsidRPr="00CC0B12">
        <w:rPr>
          <w:rFonts w:eastAsia="Times New Roman"/>
        </w:rPr>
        <w:tab/>
        <w:t>ПІБ</w:t>
      </w:r>
    </w:p>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ind w:firstLine="700"/>
        <w:rPr>
          <w:rFonts w:eastAsia="Times New Roman"/>
        </w:rPr>
      </w:pPr>
      <w:proofErr w:type="spellStart"/>
      <w:r w:rsidRPr="00CC0B12">
        <w:rPr>
          <w:rFonts w:eastAsia="Times New Roman"/>
        </w:rPr>
        <w:t>Тьютор</w:t>
      </w:r>
      <w:proofErr w:type="spellEnd"/>
    </w:p>
    <w:p w:rsidR="00426402" w:rsidRPr="00CC0B12" w:rsidRDefault="00426402" w:rsidP="00426402">
      <w:pPr>
        <w:ind w:firstLine="700"/>
        <w:rPr>
          <w:rFonts w:eastAsia="Times New Roman"/>
        </w:rPr>
      </w:pPr>
      <w:r w:rsidRPr="00CC0B12">
        <w:rPr>
          <w:rFonts w:eastAsia="Times New Roman"/>
        </w:rPr>
        <w:t xml:space="preserve">ПІБ                                                                                              </w:t>
      </w:r>
    </w:p>
    <w:p w:rsidR="00426402" w:rsidRPr="00CC0B12" w:rsidRDefault="00426402" w:rsidP="00426402">
      <w:pPr>
        <w:ind w:firstLine="700"/>
        <w:rPr>
          <w:rFonts w:eastAsia="Times New Roman"/>
        </w:rPr>
      </w:pPr>
    </w:p>
    <w:p w:rsidR="00426402" w:rsidRPr="00CC0B12" w:rsidRDefault="00426402" w:rsidP="00426402">
      <w:pPr>
        <w:ind w:firstLine="700"/>
        <w:rPr>
          <w:rFonts w:eastAsia="Times New Roman"/>
        </w:rPr>
      </w:pPr>
      <w:r w:rsidRPr="00CC0B12">
        <w:rPr>
          <w:rFonts w:eastAsia="Times New Roman"/>
        </w:rPr>
        <w:t xml:space="preserve">Координатор академічної мобільності                         </w:t>
      </w:r>
      <w:r w:rsidRPr="00CC0B12">
        <w:rPr>
          <w:rFonts w:eastAsia="Times New Roman"/>
        </w:rPr>
        <w:tab/>
        <w:t xml:space="preserve">                                                                     </w:t>
      </w:r>
      <w:r w:rsidRPr="00CC0B12">
        <w:rPr>
          <w:rFonts w:eastAsia="Times New Roman"/>
        </w:rPr>
        <w:tab/>
        <w:t xml:space="preserve">ПІБ    </w:t>
      </w:r>
    </w:p>
    <w:p w:rsidR="00426402" w:rsidRPr="00CC0B12" w:rsidRDefault="00426402" w:rsidP="00426402">
      <w:pPr>
        <w:ind w:firstLine="700"/>
        <w:rPr>
          <w:rFonts w:eastAsia="Times New Roman"/>
        </w:rPr>
      </w:pPr>
      <w:r w:rsidRPr="00CC0B12">
        <w:rPr>
          <w:rFonts w:eastAsia="Times New Roman"/>
        </w:rPr>
        <w:t xml:space="preserve">                                              </w:t>
      </w:r>
    </w:p>
    <w:p w:rsidR="00426402" w:rsidRPr="00CC0B12" w:rsidRDefault="00426402" w:rsidP="00426402">
      <w:pPr>
        <w:ind w:firstLine="700"/>
        <w:rPr>
          <w:rFonts w:eastAsia="Times New Roman"/>
        </w:rPr>
      </w:pPr>
      <w:r w:rsidRPr="00CC0B12">
        <w:rPr>
          <w:rFonts w:eastAsia="Times New Roman"/>
        </w:rPr>
        <w:t xml:space="preserve">Здобувач освіти                                                                                   </w:t>
      </w:r>
      <w:r w:rsidRPr="00CC0B12">
        <w:rPr>
          <w:rFonts w:eastAsia="Times New Roman"/>
        </w:rPr>
        <w:tab/>
        <w:t xml:space="preserve">                                                       </w:t>
      </w:r>
      <w:r w:rsidRPr="00CC0B12">
        <w:rPr>
          <w:rFonts w:eastAsia="Times New Roman"/>
        </w:rPr>
        <w:tab/>
        <w:t xml:space="preserve">ПІБ                                        </w:t>
      </w:r>
    </w:p>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rPr>
          <w:rFonts w:eastAsia="Times New Roman"/>
        </w:rPr>
      </w:pPr>
      <w:r w:rsidRPr="00CC0B12">
        <w:rPr>
          <w:rFonts w:eastAsia="Times New Roman"/>
        </w:rPr>
        <w:t xml:space="preserve"> </w:t>
      </w:r>
    </w:p>
    <w:p w:rsidR="00426402" w:rsidRPr="00CC0B12" w:rsidRDefault="00426402" w:rsidP="00426402">
      <w:pPr>
        <w:rPr>
          <w:rFonts w:eastAsia="Times New Roman"/>
          <w:i/>
        </w:rPr>
      </w:pPr>
    </w:p>
    <w:p w:rsidR="00426402" w:rsidRPr="00CC0B12" w:rsidRDefault="00426402" w:rsidP="00426402"/>
    <w:p w:rsidR="00426402" w:rsidRPr="007A27F0" w:rsidRDefault="00426402" w:rsidP="006D6A40">
      <w:pPr>
        <w:spacing w:after="0"/>
        <w:jc w:val="both"/>
        <w:rPr>
          <w:rFonts w:ascii="Times New Roman" w:hAnsi="Times New Roman" w:cs="Times New Roman"/>
          <w:sz w:val="24"/>
          <w:szCs w:val="24"/>
        </w:rPr>
      </w:pPr>
    </w:p>
    <w:sectPr w:rsidR="00426402" w:rsidRPr="007A27F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40"/>
    <w:rsid w:val="00030295"/>
    <w:rsid w:val="00265393"/>
    <w:rsid w:val="003B5A94"/>
    <w:rsid w:val="003E4B40"/>
    <w:rsid w:val="00426402"/>
    <w:rsid w:val="006D6A40"/>
    <w:rsid w:val="007A197D"/>
    <w:rsid w:val="007A27F0"/>
    <w:rsid w:val="009A39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E997A"/>
  <w15:chartTrackingRefBased/>
  <w15:docId w15:val="{9BCDD118-BA6A-4295-86AB-570278DB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B5A94"/>
    <w:pPr>
      <w:widowControl w:val="0"/>
      <w:autoSpaceDE w:val="0"/>
      <w:autoSpaceDN w:val="0"/>
      <w:spacing w:after="0" w:line="240" w:lineRule="auto"/>
      <w:ind w:left="101"/>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semiHidden/>
    <w:unhideWhenUsed/>
    <w:qFormat/>
    <w:rsid w:val="004264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5A94"/>
    <w:rPr>
      <w:rFonts w:ascii="Times New Roman" w:eastAsia="Times New Roman" w:hAnsi="Times New Roman" w:cs="Times New Roman"/>
      <w:b/>
      <w:bCs/>
      <w:sz w:val="24"/>
      <w:szCs w:val="24"/>
    </w:rPr>
  </w:style>
  <w:style w:type="paragraph" w:styleId="a3">
    <w:name w:val="Body Text"/>
    <w:basedOn w:val="a"/>
    <w:link w:val="a4"/>
    <w:uiPriority w:val="1"/>
    <w:qFormat/>
    <w:rsid w:val="003B5A9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3B5A94"/>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42640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745999">
      <w:bodyDiv w:val="1"/>
      <w:marLeft w:val="0"/>
      <w:marRight w:val="0"/>
      <w:marTop w:val="0"/>
      <w:marBottom w:val="0"/>
      <w:divBdr>
        <w:top w:val="none" w:sz="0" w:space="0" w:color="auto"/>
        <w:left w:val="none" w:sz="0" w:space="0" w:color="auto"/>
        <w:bottom w:val="none" w:sz="0" w:space="0" w:color="auto"/>
        <w:right w:val="none" w:sz="0" w:space="0" w:color="auto"/>
      </w:divBdr>
    </w:div>
    <w:div w:id="148735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16</Pages>
  <Words>25926</Words>
  <Characters>14778</Characters>
  <Application>Microsoft Office Word</Application>
  <DocSecurity>0</DocSecurity>
  <Lines>123</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Ірина Сікорська</dc:creator>
  <cp:keywords/>
  <dc:description/>
  <cp:lastModifiedBy>Анастасія Чайкіна</cp:lastModifiedBy>
  <cp:revision>6</cp:revision>
  <dcterms:created xsi:type="dcterms:W3CDTF">2025-02-17T13:21:00Z</dcterms:created>
  <dcterms:modified xsi:type="dcterms:W3CDTF">2025-04-10T11:23:00Z</dcterms:modified>
</cp:coreProperties>
</file>